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0DAC96" w14:textId="6F0B66E2" w:rsidR="00394842" w:rsidRPr="0052548E" w:rsidRDefault="00394842" w:rsidP="00394842">
      <w:pPr>
        <w:tabs>
          <w:tab w:val="left" w:pos="1985"/>
        </w:tabs>
        <w:spacing w:after="0"/>
        <w:ind w:left="0" w:firstLine="0"/>
        <w:rPr>
          <w:rFonts w:ascii="Arial" w:hAnsi="Arial" w:cs="Arial"/>
          <w:b/>
          <w:bCs/>
          <w:sz w:val="28"/>
        </w:rPr>
      </w:pPr>
      <w:r w:rsidRPr="0052548E">
        <w:rPr>
          <w:rFonts w:ascii="Arial" w:hAnsi="Arial" w:cs="Arial"/>
          <w:b/>
          <w:bCs/>
          <w:sz w:val="28"/>
        </w:rPr>
        <w:t>3GPP TSG RAN WG1 Meeting</w:t>
      </w:r>
      <w:r w:rsidR="00372C5A">
        <w:rPr>
          <w:rFonts w:ascii="Arial" w:hAnsi="Arial" w:cs="Arial"/>
          <w:b/>
          <w:bCs/>
          <w:sz w:val="28"/>
        </w:rPr>
        <w:t xml:space="preserve"> #92bis</w:t>
      </w:r>
      <w:r w:rsidR="00372C5A">
        <w:rPr>
          <w:rFonts w:ascii="Arial" w:hAnsi="Arial" w:cs="Arial"/>
          <w:b/>
          <w:bCs/>
          <w:sz w:val="28"/>
        </w:rPr>
        <w:tab/>
      </w:r>
      <w:r w:rsidR="00372C5A">
        <w:rPr>
          <w:rFonts w:ascii="Arial" w:hAnsi="Arial" w:cs="Arial"/>
          <w:b/>
          <w:bCs/>
          <w:sz w:val="28"/>
        </w:rPr>
        <w:tab/>
      </w:r>
      <w:r w:rsidR="00372C5A">
        <w:rPr>
          <w:rFonts w:ascii="Arial" w:hAnsi="Arial" w:cs="Arial"/>
          <w:b/>
          <w:bCs/>
          <w:sz w:val="28"/>
        </w:rPr>
        <w:tab/>
      </w:r>
      <w:r w:rsidR="00372C5A">
        <w:rPr>
          <w:rFonts w:ascii="Arial" w:hAnsi="Arial" w:cs="Arial"/>
          <w:b/>
          <w:bCs/>
          <w:sz w:val="28"/>
        </w:rPr>
        <w:tab/>
        <w:t>R1-1804569</w:t>
      </w:r>
    </w:p>
    <w:p w14:paraId="39A2C9E3" w14:textId="77777777" w:rsidR="00394842" w:rsidRPr="00333862" w:rsidRDefault="00394842" w:rsidP="00394842">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Sanya, China, April 16</w:t>
      </w:r>
      <w:r w:rsidRPr="004D56C7">
        <w:rPr>
          <w:rFonts w:ascii="Arial" w:hAnsi="Arial" w:cs="Arial"/>
          <w:b/>
          <w:bCs/>
          <w:sz w:val="28"/>
          <w:vertAlign w:val="superscript"/>
          <w:lang w:eastAsia="ja-JP"/>
        </w:rPr>
        <w:t>th</w:t>
      </w:r>
      <w:r>
        <w:rPr>
          <w:rFonts w:ascii="Arial" w:hAnsi="Arial" w:cs="Arial"/>
          <w:b/>
          <w:bCs/>
          <w:sz w:val="28"/>
          <w:lang w:eastAsia="ja-JP"/>
        </w:rPr>
        <w:t xml:space="preserve"> – 20</w:t>
      </w:r>
      <w:r w:rsidRPr="00F9274C">
        <w:rPr>
          <w:rFonts w:ascii="Arial" w:hAnsi="Arial" w:cs="Arial"/>
          <w:b/>
          <w:bCs/>
          <w:sz w:val="28"/>
          <w:vertAlign w:val="superscript"/>
          <w:lang w:eastAsia="ja-JP"/>
        </w:rPr>
        <w:t>th</w:t>
      </w:r>
      <w:r>
        <w:rPr>
          <w:rFonts w:ascii="Arial" w:hAnsi="Arial" w:cs="Arial"/>
          <w:b/>
          <w:bCs/>
          <w:sz w:val="28"/>
          <w:lang w:eastAsia="ja-JP"/>
        </w:rPr>
        <w:t xml:space="preserve">, 2018 </w:t>
      </w:r>
    </w:p>
    <w:p w14:paraId="6E4462CD" w14:textId="4772D574"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2E599D">
        <w:rPr>
          <w:rFonts w:ascii="Arial" w:eastAsia="맑은 고딕" w:hAnsi="Arial"/>
          <w:sz w:val="24"/>
          <w:lang w:val="en-US" w:eastAsia="ko-KR"/>
        </w:rPr>
        <w:t>7.2.</w:t>
      </w:r>
      <w:r w:rsidR="009E1BEB">
        <w:rPr>
          <w:rFonts w:ascii="Arial" w:eastAsia="맑은 고딕" w:hAnsi="Arial"/>
          <w:sz w:val="24"/>
          <w:lang w:val="en-US" w:eastAsia="ko-KR"/>
        </w:rPr>
        <w:t>1</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0A02CB8A"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D666B6" w:rsidRPr="00D666B6">
        <w:rPr>
          <w:rFonts w:ascii="Arial" w:eastAsiaTheme="minorEastAsia" w:hAnsi="Arial"/>
          <w:sz w:val="24"/>
          <w:lang w:eastAsia="ko-KR"/>
        </w:rPr>
        <w:t xml:space="preserve">Discussion on </w:t>
      </w:r>
      <w:r w:rsidR="009E1BEB">
        <w:rPr>
          <w:rFonts w:ascii="Arial" w:eastAsiaTheme="minorEastAsia" w:hAnsi="Arial"/>
          <w:sz w:val="24"/>
          <w:lang w:eastAsia="ko-KR"/>
        </w:rPr>
        <w:t>CQI and MCS table for URLLC</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7E82CE41" w14:textId="77777777" w:rsidR="00B843AE" w:rsidRDefault="00B843AE" w:rsidP="00B843AE">
      <w:pPr>
        <w:pStyle w:val="Doc"/>
        <w:ind w:firstLineChars="0" w:firstLine="0"/>
        <w:rPr>
          <w:rFonts w:eastAsiaTheme="minorEastAsia"/>
          <w:lang w:val="en-GB"/>
        </w:rPr>
      </w:pPr>
      <w:r>
        <w:rPr>
          <w:rFonts w:eastAsiaTheme="minorEastAsia" w:hint="eastAsia"/>
          <w:lang w:val="en-GB"/>
        </w:rPr>
        <w:t>I</w:t>
      </w:r>
      <w:r>
        <w:rPr>
          <w:rFonts w:eastAsiaTheme="minorEastAsia"/>
          <w:lang w:val="en-GB"/>
        </w:rPr>
        <w:t>n RAN1#92 [1], followings are agreed relevant to CQI</w:t>
      </w:r>
      <w:r>
        <w:rPr>
          <w:rFonts w:eastAsiaTheme="minorEastAsia" w:hint="eastAsia"/>
          <w:lang w:val="en-GB"/>
        </w:rPr>
        <w:t xml:space="preserve"> </w:t>
      </w:r>
      <w:r>
        <w:rPr>
          <w:rFonts w:eastAsiaTheme="minorEastAsia"/>
          <w:lang w:val="en-GB"/>
        </w:rPr>
        <w:t>and MCS table design for URLLC:</w:t>
      </w:r>
    </w:p>
    <w:tbl>
      <w:tblPr>
        <w:tblStyle w:val="a7"/>
        <w:tblW w:w="0" w:type="auto"/>
        <w:tblLook w:val="04A0" w:firstRow="1" w:lastRow="0" w:firstColumn="1" w:lastColumn="0" w:noHBand="0" w:noVBand="1"/>
      </w:tblPr>
      <w:tblGrid>
        <w:gridCol w:w="9628"/>
      </w:tblGrid>
      <w:tr w:rsidR="00B843AE" w14:paraId="3C31593B" w14:textId="77777777" w:rsidTr="00245F6A">
        <w:tc>
          <w:tcPr>
            <w:tcW w:w="9628" w:type="dxa"/>
          </w:tcPr>
          <w:p w14:paraId="5D04DA6C" w14:textId="77777777" w:rsidR="00B843AE" w:rsidRPr="00AF1A70" w:rsidRDefault="00B843AE" w:rsidP="00372C5A">
            <w:pPr>
              <w:spacing w:before="0" w:after="0" w:line="260" w:lineRule="exact"/>
              <w:ind w:left="0" w:firstLine="0"/>
              <w:rPr>
                <w:b/>
              </w:rPr>
            </w:pPr>
            <w:r w:rsidRPr="00AF1A70">
              <w:rPr>
                <w:highlight w:val="green"/>
              </w:rPr>
              <w:t>Agreements</w:t>
            </w:r>
            <w:r w:rsidRPr="00AF1A70">
              <w:rPr>
                <w:b/>
              </w:rPr>
              <w:t>:</w:t>
            </w:r>
          </w:p>
          <w:p w14:paraId="5DAB6074" w14:textId="77777777" w:rsidR="00B843AE" w:rsidRPr="00372C5A" w:rsidRDefault="00B843AE" w:rsidP="00372C5A">
            <w:pPr>
              <w:pStyle w:val="Proposal"/>
            </w:pPr>
            <w:r w:rsidRPr="00372C5A">
              <w:t>The two BLER targets for CQI reporting that are configurable for URLLC are to be down-selected from one of the following options:</w:t>
            </w:r>
          </w:p>
          <w:p w14:paraId="12A0256C" w14:textId="77777777" w:rsidR="00B843AE" w:rsidRPr="00372C5A" w:rsidRDefault="00B843AE" w:rsidP="00372C5A">
            <w:pPr>
              <w:pStyle w:val="ad"/>
              <w:numPr>
                <w:ilvl w:val="0"/>
                <w:numId w:val="38"/>
              </w:numPr>
              <w:wordWrap/>
              <w:autoSpaceDE/>
              <w:autoSpaceDN/>
              <w:spacing w:before="0" w:line="260" w:lineRule="exact"/>
              <w:ind w:leftChars="0" w:left="2070"/>
              <w:contextualSpacing/>
              <w:jc w:val="left"/>
              <w:rPr>
                <w:rFonts w:ascii="Times New Roman" w:hAnsi="Times New Roman" w:cs="Times New Roman"/>
              </w:rPr>
            </w:pPr>
            <w:r w:rsidRPr="00372C5A">
              <w:rPr>
                <w:rFonts w:ascii="Times New Roman" w:hAnsi="Times New Roman" w:cs="Times New Roman"/>
              </w:rPr>
              <w:t>Option A. (10</w:t>
            </w:r>
            <w:r w:rsidRPr="00372C5A">
              <w:rPr>
                <w:rFonts w:ascii="Times New Roman" w:hAnsi="Times New Roman" w:cs="Times New Roman"/>
                <w:vertAlign w:val="superscript"/>
              </w:rPr>
              <w:t>-1</w:t>
            </w:r>
            <w:r w:rsidRPr="00372C5A">
              <w:rPr>
                <w:rFonts w:ascii="Times New Roman" w:hAnsi="Times New Roman" w:cs="Times New Roman"/>
              </w:rPr>
              <w:t>, 10</w:t>
            </w:r>
            <w:r w:rsidRPr="00372C5A">
              <w:rPr>
                <w:rFonts w:ascii="Times New Roman" w:hAnsi="Times New Roman" w:cs="Times New Roman"/>
                <w:vertAlign w:val="superscript"/>
              </w:rPr>
              <w:t>-4</w:t>
            </w:r>
            <w:r w:rsidRPr="00372C5A">
              <w:rPr>
                <w:rFonts w:ascii="Times New Roman" w:hAnsi="Times New Roman" w:cs="Times New Roman"/>
              </w:rPr>
              <w:t>)</w:t>
            </w:r>
          </w:p>
          <w:p w14:paraId="24C86D90" w14:textId="77777777" w:rsidR="00B843AE" w:rsidRPr="00372C5A" w:rsidRDefault="00B843AE" w:rsidP="00372C5A">
            <w:pPr>
              <w:pStyle w:val="ad"/>
              <w:numPr>
                <w:ilvl w:val="0"/>
                <w:numId w:val="38"/>
              </w:numPr>
              <w:wordWrap/>
              <w:autoSpaceDE/>
              <w:autoSpaceDN/>
              <w:spacing w:before="0" w:line="260" w:lineRule="exact"/>
              <w:ind w:leftChars="0" w:left="2070"/>
              <w:contextualSpacing/>
              <w:jc w:val="left"/>
              <w:rPr>
                <w:rFonts w:ascii="Times New Roman" w:hAnsi="Times New Roman" w:cs="Times New Roman"/>
              </w:rPr>
            </w:pPr>
            <w:r w:rsidRPr="00372C5A">
              <w:rPr>
                <w:rFonts w:ascii="Times New Roman" w:hAnsi="Times New Roman" w:cs="Times New Roman"/>
              </w:rPr>
              <w:t>Option B. (10</w:t>
            </w:r>
            <w:r w:rsidRPr="00372C5A">
              <w:rPr>
                <w:rFonts w:ascii="Times New Roman" w:hAnsi="Times New Roman" w:cs="Times New Roman"/>
                <w:vertAlign w:val="superscript"/>
              </w:rPr>
              <w:t>-1</w:t>
            </w:r>
            <w:r w:rsidRPr="00372C5A">
              <w:rPr>
                <w:rFonts w:ascii="Times New Roman" w:hAnsi="Times New Roman" w:cs="Times New Roman"/>
              </w:rPr>
              <w:t>, 10</w:t>
            </w:r>
            <w:r w:rsidRPr="00372C5A">
              <w:rPr>
                <w:rFonts w:ascii="Times New Roman" w:hAnsi="Times New Roman" w:cs="Times New Roman"/>
                <w:vertAlign w:val="superscript"/>
              </w:rPr>
              <w:t>-5</w:t>
            </w:r>
            <w:r w:rsidRPr="00372C5A">
              <w:rPr>
                <w:rFonts w:ascii="Times New Roman" w:hAnsi="Times New Roman" w:cs="Times New Roman"/>
              </w:rPr>
              <w:t>)</w:t>
            </w:r>
          </w:p>
          <w:p w14:paraId="381FF22C" w14:textId="77777777" w:rsidR="00B843AE" w:rsidRPr="00372C5A" w:rsidRDefault="00B843AE" w:rsidP="00372C5A">
            <w:pPr>
              <w:pStyle w:val="ad"/>
              <w:numPr>
                <w:ilvl w:val="0"/>
                <w:numId w:val="38"/>
              </w:numPr>
              <w:wordWrap/>
              <w:autoSpaceDE/>
              <w:autoSpaceDN/>
              <w:spacing w:before="0" w:line="260" w:lineRule="exact"/>
              <w:ind w:leftChars="0" w:left="2070"/>
              <w:contextualSpacing/>
              <w:jc w:val="left"/>
              <w:rPr>
                <w:rFonts w:ascii="Times New Roman" w:hAnsi="Times New Roman" w:cs="Times New Roman"/>
              </w:rPr>
            </w:pPr>
            <w:r w:rsidRPr="00372C5A">
              <w:rPr>
                <w:rFonts w:ascii="Times New Roman" w:hAnsi="Times New Roman" w:cs="Times New Roman"/>
              </w:rPr>
              <w:t>Option C. (10</w:t>
            </w:r>
            <w:r w:rsidRPr="00372C5A">
              <w:rPr>
                <w:rFonts w:ascii="Times New Roman" w:hAnsi="Times New Roman" w:cs="Times New Roman"/>
                <w:vertAlign w:val="superscript"/>
              </w:rPr>
              <w:t>-3</w:t>
            </w:r>
            <w:r w:rsidRPr="00372C5A">
              <w:rPr>
                <w:rFonts w:ascii="Times New Roman" w:hAnsi="Times New Roman" w:cs="Times New Roman"/>
              </w:rPr>
              <w:t>, 10</w:t>
            </w:r>
            <w:r w:rsidRPr="00372C5A">
              <w:rPr>
                <w:rFonts w:ascii="Times New Roman" w:hAnsi="Times New Roman" w:cs="Times New Roman"/>
                <w:vertAlign w:val="superscript"/>
              </w:rPr>
              <w:t>-5</w:t>
            </w:r>
            <w:r w:rsidRPr="00372C5A">
              <w:rPr>
                <w:rFonts w:ascii="Times New Roman" w:hAnsi="Times New Roman" w:cs="Times New Roman"/>
              </w:rPr>
              <w:t xml:space="preserve">) </w:t>
            </w:r>
          </w:p>
          <w:p w14:paraId="3C9A590D" w14:textId="77777777" w:rsidR="00B843AE" w:rsidRPr="00372C5A" w:rsidRDefault="00B843AE" w:rsidP="00372C5A">
            <w:pPr>
              <w:pStyle w:val="ad"/>
              <w:numPr>
                <w:ilvl w:val="0"/>
                <w:numId w:val="38"/>
              </w:numPr>
              <w:wordWrap/>
              <w:autoSpaceDE/>
              <w:autoSpaceDN/>
              <w:spacing w:before="0" w:line="260" w:lineRule="exact"/>
              <w:ind w:leftChars="0" w:left="2070"/>
              <w:contextualSpacing/>
              <w:jc w:val="left"/>
              <w:rPr>
                <w:rFonts w:ascii="Times New Roman" w:hAnsi="Times New Roman" w:cs="Times New Roman"/>
              </w:rPr>
            </w:pPr>
            <w:r w:rsidRPr="00372C5A">
              <w:rPr>
                <w:rFonts w:ascii="Times New Roman" w:hAnsi="Times New Roman" w:cs="Times New Roman"/>
              </w:rPr>
              <w:t>Option D. (10</w:t>
            </w:r>
            <w:r w:rsidRPr="00372C5A">
              <w:rPr>
                <w:rFonts w:ascii="Times New Roman" w:hAnsi="Times New Roman" w:cs="Times New Roman"/>
                <w:vertAlign w:val="superscript"/>
              </w:rPr>
              <w:t>-2</w:t>
            </w:r>
            <w:r w:rsidRPr="00372C5A">
              <w:rPr>
                <w:rFonts w:ascii="Times New Roman" w:hAnsi="Times New Roman" w:cs="Times New Roman"/>
              </w:rPr>
              <w:t>, 10</w:t>
            </w:r>
            <w:r w:rsidRPr="00372C5A">
              <w:rPr>
                <w:rFonts w:ascii="Times New Roman" w:hAnsi="Times New Roman" w:cs="Times New Roman"/>
                <w:vertAlign w:val="superscript"/>
              </w:rPr>
              <w:t>-4</w:t>
            </w:r>
            <w:r w:rsidRPr="00372C5A">
              <w:rPr>
                <w:rFonts w:ascii="Times New Roman" w:hAnsi="Times New Roman" w:cs="Times New Roman"/>
              </w:rPr>
              <w:t>)</w:t>
            </w:r>
          </w:p>
          <w:p w14:paraId="0857241D" w14:textId="77777777" w:rsidR="00B843AE" w:rsidRPr="00372C5A" w:rsidRDefault="00B843AE" w:rsidP="00372C5A">
            <w:pPr>
              <w:pStyle w:val="ad"/>
              <w:wordWrap/>
              <w:spacing w:before="0" w:line="260" w:lineRule="exact"/>
              <w:ind w:leftChars="0"/>
              <w:contextualSpacing/>
              <w:rPr>
                <w:rFonts w:ascii="Times New Roman" w:hAnsi="Times New Roman" w:cs="Times New Roman"/>
              </w:rPr>
            </w:pPr>
          </w:p>
          <w:p w14:paraId="12111E97" w14:textId="77777777" w:rsidR="00B843AE" w:rsidRPr="00372C5A" w:rsidRDefault="00B843AE" w:rsidP="00372C5A">
            <w:pPr>
              <w:pStyle w:val="ad"/>
              <w:wordWrap/>
              <w:spacing w:before="0" w:line="260" w:lineRule="exact"/>
              <w:ind w:leftChars="0"/>
              <w:contextualSpacing/>
              <w:rPr>
                <w:rFonts w:ascii="Times New Roman" w:hAnsi="Times New Roman" w:cs="Times New Roman"/>
              </w:rPr>
            </w:pPr>
            <w:r w:rsidRPr="00372C5A">
              <w:rPr>
                <w:rFonts w:ascii="Times New Roman" w:hAnsi="Times New Roman" w:cs="Times New Roman"/>
              </w:rPr>
              <w:t xml:space="preserve">Companies are encouraged to consider the following when performing evaulations for down-selection of BLER targets for CQI reporting, e.g., </w:t>
            </w:r>
          </w:p>
          <w:p w14:paraId="35CF4738" w14:textId="77777777" w:rsidR="00B843AE" w:rsidRPr="00372C5A" w:rsidRDefault="00B843AE" w:rsidP="00372C5A">
            <w:pPr>
              <w:pStyle w:val="ad"/>
              <w:numPr>
                <w:ilvl w:val="1"/>
                <w:numId w:val="38"/>
              </w:numPr>
              <w:wordWrap/>
              <w:autoSpaceDE/>
              <w:autoSpaceDN/>
              <w:spacing w:before="0" w:line="260" w:lineRule="exact"/>
              <w:ind w:leftChars="0"/>
              <w:contextualSpacing/>
              <w:jc w:val="left"/>
              <w:rPr>
                <w:rFonts w:ascii="Times New Roman" w:hAnsi="Times New Roman" w:cs="Times New Roman"/>
              </w:rPr>
            </w:pPr>
            <w:r w:rsidRPr="00372C5A">
              <w:rPr>
                <w:rFonts w:ascii="Times New Roman" w:hAnsi="Times New Roman" w:cs="Times New Roman"/>
              </w:rPr>
              <w:t>Resource efficiency: e.g., number of RE occupied, probability of blocking</w:t>
            </w:r>
          </w:p>
          <w:p w14:paraId="6BEC0A4E" w14:textId="77777777" w:rsidR="00B843AE" w:rsidRPr="00372C5A" w:rsidRDefault="00B843AE" w:rsidP="00372C5A">
            <w:pPr>
              <w:pStyle w:val="ad"/>
              <w:numPr>
                <w:ilvl w:val="1"/>
                <w:numId w:val="38"/>
              </w:numPr>
              <w:wordWrap/>
              <w:autoSpaceDE/>
              <w:autoSpaceDN/>
              <w:spacing w:before="0" w:line="260" w:lineRule="exact"/>
              <w:ind w:leftChars="0"/>
              <w:contextualSpacing/>
              <w:jc w:val="left"/>
              <w:rPr>
                <w:rFonts w:ascii="Times New Roman" w:hAnsi="Times New Roman" w:cs="Times New Roman"/>
              </w:rPr>
            </w:pPr>
            <w:r w:rsidRPr="00372C5A">
              <w:rPr>
                <w:rFonts w:ascii="Times New Roman" w:hAnsi="Times New Roman" w:cs="Times New Roman"/>
              </w:rPr>
              <w:t>Feasibility of UE producing accurate CQI estimation for CQI reporting. Each company can provide views from their perspective. Assume existing definition of CSI reference resource.</w:t>
            </w:r>
          </w:p>
          <w:p w14:paraId="59543FCE" w14:textId="63C73FD0" w:rsidR="00B843AE" w:rsidRPr="00372C5A" w:rsidRDefault="00B843AE" w:rsidP="00372C5A">
            <w:pPr>
              <w:pStyle w:val="ad"/>
              <w:numPr>
                <w:ilvl w:val="1"/>
                <w:numId w:val="38"/>
              </w:numPr>
              <w:wordWrap/>
              <w:autoSpaceDE/>
              <w:autoSpaceDN/>
              <w:spacing w:before="0" w:line="260" w:lineRule="exact"/>
              <w:ind w:leftChars="0"/>
              <w:contextualSpacing/>
              <w:jc w:val="left"/>
              <w:rPr>
                <w:rFonts w:ascii="Times New Roman" w:hAnsi="Times New Roman" w:cs="Times New Roman"/>
              </w:rPr>
            </w:pPr>
            <w:r w:rsidRPr="00372C5A">
              <w:rPr>
                <w:rFonts w:ascii="Times New Roman" w:hAnsi="Times New Roman" w:cs="Times New Roman"/>
              </w:rPr>
              <w:t>The distance in SNR (dB) between the two target</w:t>
            </w:r>
            <w:r w:rsidR="002C7B03">
              <w:rPr>
                <w:rFonts w:ascii="Times New Roman" w:hAnsi="Times New Roman" w:cs="Times New Roman"/>
              </w:rPr>
              <w:t>s</w:t>
            </w:r>
            <w:r w:rsidRPr="00372C5A">
              <w:rPr>
                <w:rFonts w:ascii="Times New Roman" w:hAnsi="Times New Roman" w:cs="Times New Roman"/>
              </w:rPr>
              <w:t xml:space="preserve"> is sufficient to generate distinct CQI in typical operation.</w:t>
            </w:r>
          </w:p>
          <w:p w14:paraId="1020AA37" w14:textId="77777777" w:rsidR="00B843AE" w:rsidRPr="00372C5A" w:rsidRDefault="00B843AE" w:rsidP="00372C5A">
            <w:pPr>
              <w:pStyle w:val="ad"/>
              <w:numPr>
                <w:ilvl w:val="1"/>
                <w:numId w:val="38"/>
              </w:numPr>
              <w:wordWrap/>
              <w:autoSpaceDE/>
              <w:autoSpaceDN/>
              <w:spacing w:before="0" w:line="260" w:lineRule="exact"/>
              <w:ind w:leftChars="0"/>
              <w:contextualSpacing/>
              <w:jc w:val="left"/>
              <w:rPr>
                <w:rFonts w:ascii="Times New Roman" w:hAnsi="Times New Roman" w:cs="Times New Roman"/>
              </w:rPr>
            </w:pPr>
            <w:r w:rsidRPr="00372C5A">
              <w:rPr>
                <w:rFonts w:ascii="Times New Roman" w:hAnsi="Times New Roman" w:cs="Times New Roman"/>
              </w:rPr>
              <w:t>UE complexity of being able to generate CQI report for 3 BLER targets  (e.g., Option (C) and (D) in certain cases) vs 2 BLER targets (Option (A) and (B))</w:t>
            </w:r>
          </w:p>
          <w:p w14:paraId="2ACCBF7F" w14:textId="1A3DB56C" w:rsidR="00B843AE" w:rsidRPr="00EC220C" w:rsidRDefault="00B843AE" w:rsidP="00372C5A">
            <w:pPr>
              <w:pStyle w:val="ad"/>
              <w:numPr>
                <w:ilvl w:val="1"/>
                <w:numId w:val="38"/>
              </w:numPr>
              <w:wordWrap/>
              <w:autoSpaceDE/>
              <w:autoSpaceDN/>
              <w:spacing w:before="0" w:line="260" w:lineRule="exact"/>
              <w:ind w:leftChars="0"/>
              <w:contextualSpacing/>
              <w:jc w:val="left"/>
            </w:pPr>
            <w:r w:rsidRPr="00372C5A">
              <w:rPr>
                <w:rFonts w:ascii="Times New Roman" w:hAnsi="Times New Roman" w:cs="Times New Roman"/>
              </w:rPr>
              <w:t>achieved latency</w:t>
            </w:r>
          </w:p>
          <w:p w14:paraId="40196A1B" w14:textId="77777777" w:rsidR="00B843AE" w:rsidRPr="00B843AE" w:rsidRDefault="00B843AE" w:rsidP="00372C5A">
            <w:pPr>
              <w:spacing w:before="0" w:after="0" w:line="260" w:lineRule="exact"/>
              <w:ind w:left="0" w:firstLine="0"/>
            </w:pPr>
            <w:r w:rsidRPr="00B843AE">
              <w:rPr>
                <w:highlight w:val="green"/>
              </w:rPr>
              <w:t>Agreements</w:t>
            </w:r>
            <w:r w:rsidRPr="00B843AE">
              <w:t>:</w:t>
            </w:r>
          </w:p>
          <w:p w14:paraId="2A0860AE" w14:textId="77777777" w:rsidR="00B843AE" w:rsidRPr="00B843AE" w:rsidRDefault="00B843AE" w:rsidP="00372C5A">
            <w:pPr>
              <w:numPr>
                <w:ilvl w:val="0"/>
                <w:numId w:val="37"/>
              </w:numPr>
              <w:spacing w:before="0" w:after="0" w:line="260" w:lineRule="exact"/>
              <w:jc w:val="left"/>
            </w:pPr>
            <w:r w:rsidRPr="00B843AE">
              <w:t>For new CQI table and MCS table constructed specifically for URLLC, 256QAM is not included.</w:t>
            </w:r>
          </w:p>
          <w:p w14:paraId="1E71C902" w14:textId="77777777" w:rsidR="00B843AE" w:rsidRPr="00B843AE" w:rsidRDefault="00B843AE" w:rsidP="00372C5A">
            <w:pPr>
              <w:numPr>
                <w:ilvl w:val="0"/>
                <w:numId w:val="37"/>
              </w:numPr>
              <w:spacing w:before="0" w:after="0" w:line="260" w:lineRule="exact"/>
              <w:jc w:val="left"/>
            </w:pPr>
            <w:r w:rsidRPr="00B843AE">
              <w:t>Lowest spectral efficiency in any/all CQI table is not lower than 30/1024 * 2 (QPSK)</w:t>
            </w:r>
          </w:p>
          <w:p w14:paraId="0E390462" w14:textId="77777777" w:rsidR="00B843AE" w:rsidRPr="00B843AE" w:rsidRDefault="00B843AE" w:rsidP="00372C5A">
            <w:pPr>
              <w:numPr>
                <w:ilvl w:val="0"/>
                <w:numId w:val="39"/>
              </w:numPr>
              <w:spacing w:before="0" w:after="0" w:line="260" w:lineRule="exact"/>
              <w:jc w:val="left"/>
            </w:pPr>
            <w:r w:rsidRPr="00B843AE">
              <w:t xml:space="preserve">Highest spectral efficiency in any/all CQI table is not greater than a value, where the value is selected from one of the following: </w:t>
            </w:r>
          </w:p>
          <w:p w14:paraId="3C69CEFC" w14:textId="77777777" w:rsidR="00B843AE" w:rsidRPr="00B843AE" w:rsidRDefault="00B843AE" w:rsidP="00372C5A">
            <w:pPr>
              <w:numPr>
                <w:ilvl w:val="1"/>
                <w:numId w:val="40"/>
              </w:numPr>
              <w:spacing w:before="0" w:after="0" w:line="260" w:lineRule="exact"/>
              <w:jc w:val="left"/>
            </w:pPr>
            <w:r w:rsidRPr="00B843AE">
              <w:t>666/1024 * 6</w:t>
            </w:r>
          </w:p>
          <w:p w14:paraId="423679E8" w14:textId="77777777" w:rsidR="00B843AE" w:rsidRPr="00B843AE" w:rsidRDefault="00B843AE" w:rsidP="00372C5A">
            <w:pPr>
              <w:numPr>
                <w:ilvl w:val="1"/>
                <w:numId w:val="40"/>
              </w:numPr>
              <w:spacing w:before="0" w:after="0" w:line="260" w:lineRule="exact"/>
              <w:jc w:val="left"/>
            </w:pPr>
            <w:r w:rsidRPr="00B843AE">
              <w:t>772/1024 * 6</w:t>
            </w:r>
          </w:p>
          <w:p w14:paraId="3EEF8363" w14:textId="77777777" w:rsidR="00B843AE" w:rsidRPr="00B843AE" w:rsidRDefault="00B843AE" w:rsidP="00372C5A">
            <w:pPr>
              <w:numPr>
                <w:ilvl w:val="1"/>
                <w:numId w:val="40"/>
              </w:numPr>
              <w:spacing w:before="0" w:after="0" w:line="260" w:lineRule="exact"/>
              <w:jc w:val="left"/>
            </w:pPr>
            <w:r w:rsidRPr="00B843AE">
              <w:t>873/1024 * 6</w:t>
            </w:r>
          </w:p>
          <w:p w14:paraId="05903919" w14:textId="77777777" w:rsidR="00B843AE" w:rsidRPr="00B843AE" w:rsidRDefault="00B843AE" w:rsidP="00372C5A">
            <w:pPr>
              <w:numPr>
                <w:ilvl w:val="1"/>
                <w:numId w:val="40"/>
              </w:numPr>
              <w:spacing w:before="0" w:after="0" w:line="260" w:lineRule="exact"/>
              <w:jc w:val="left"/>
            </w:pPr>
            <w:r w:rsidRPr="00B843AE">
              <w:t xml:space="preserve">948/1024 * 6 </w:t>
            </w:r>
          </w:p>
          <w:p w14:paraId="08EB162E" w14:textId="77777777" w:rsidR="00B843AE" w:rsidRPr="00B843AE" w:rsidRDefault="00B843AE" w:rsidP="00372C5A">
            <w:pPr>
              <w:numPr>
                <w:ilvl w:val="0"/>
                <w:numId w:val="39"/>
              </w:numPr>
              <w:spacing w:before="0" w:after="0" w:line="260" w:lineRule="exact"/>
              <w:jc w:val="left"/>
            </w:pPr>
            <w:r w:rsidRPr="00B843AE">
              <w:t>Lowest spectral efficiency in any/all MCS table is not lower than 30/1024 * 2.</w:t>
            </w:r>
          </w:p>
          <w:p w14:paraId="3DBE88A0" w14:textId="77777777" w:rsidR="00B843AE" w:rsidRPr="00B843AE" w:rsidRDefault="00B843AE" w:rsidP="00372C5A">
            <w:pPr>
              <w:numPr>
                <w:ilvl w:val="0"/>
                <w:numId w:val="39"/>
              </w:numPr>
              <w:spacing w:before="0" w:after="0" w:line="260" w:lineRule="exact"/>
              <w:jc w:val="left"/>
            </w:pPr>
            <w:r w:rsidRPr="00B843AE">
              <w:t xml:space="preserve">Highest spectral efficiency in any/all MCS table is not greater than a value, where the value is selected from the following: </w:t>
            </w:r>
          </w:p>
          <w:p w14:paraId="518C3884" w14:textId="77777777" w:rsidR="00B843AE" w:rsidRPr="00B843AE" w:rsidRDefault="00B843AE" w:rsidP="00372C5A">
            <w:pPr>
              <w:numPr>
                <w:ilvl w:val="0"/>
                <w:numId w:val="41"/>
              </w:numPr>
              <w:spacing w:before="0" w:after="0" w:line="260" w:lineRule="exact"/>
              <w:jc w:val="left"/>
            </w:pPr>
            <w:r w:rsidRPr="00B843AE">
              <w:t>666/1024 * 6</w:t>
            </w:r>
          </w:p>
          <w:p w14:paraId="0B610A5B" w14:textId="77777777" w:rsidR="00B843AE" w:rsidRPr="00B843AE" w:rsidRDefault="00B843AE" w:rsidP="00372C5A">
            <w:pPr>
              <w:numPr>
                <w:ilvl w:val="0"/>
                <w:numId w:val="41"/>
              </w:numPr>
              <w:spacing w:before="0" w:after="0" w:line="260" w:lineRule="exact"/>
              <w:jc w:val="left"/>
            </w:pPr>
            <w:r w:rsidRPr="00B843AE">
              <w:t>772/1024 * 6</w:t>
            </w:r>
          </w:p>
          <w:p w14:paraId="24D6F5D7" w14:textId="77777777" w:rsidR="00B843AE" w:rsidRPr="00B843AE" w:rsidRDefault="00B843AE" w:rsidP="00372C5A">
            <w:pPr>
              <w:numPr>
                <w:ilvl w:val="0"/>
                <w:numId w:val="41"/>
              </w:numPr>
              <w:spacing w:before="0" w:after="0" w:line="260" w:lineRule="exact"/>
              <w:jc w:val="left"/>
            </w:pPr>
            <w:r w:rsidRPr="00B843AE">
              <w:t>873/1024 * 6</w:t>
            </w:r>
          </w:p>
          <w:p w14:paraId="65A1F618" w14:textId="77777777" w:rsidR="00B843AE" w:rsidRPr="00B843AE" w:rsidRDefault="00B843AE" w:rsidP="00372C5A">
            <w:pPr>
              <w:numPr>
                <w:ilvl w:val="0"/>
                <w:numId w:val="41"/>
              </w:numPr>
              <w:spacing w:before="0" w:after="0" w:line="260" w:lineRule="exact"/>
              <w:jc w:val="left"/>
            </w:pPr>
            <w:r w:rsidRPr="00B843AE">
              <w:t xml:space="preserve">948/1024 * 6 </w:t>
            </w:r>
          </w:p>
          <w:p w14:paraId="23923CC0" w14:textId="77777777" w:rsidR="00B843AE" w:rsidRPr="00423F70" w:rsidRDefault="00B843AE" w:rsidP="00245F6A">
            <w:pPr>
              <w:pStyle w:val="agreement"/>
              <w:numPr>
                <w:ilvl w:val="0"/>
                <w:numId w:val="0"/>
              </w:numPr>
              <w:ind w:left="360"/>
              <w:rPr>
                <w:rFonts w:eastAsiaTheme="minorEastAsia"/>
                <w:lang w:eastAsia="ko-KR"/>
              </w:rPr>
            </w:pPr>
          </w:p>
        </w:tc>
      </w:tr>
    </w:tbl>
    <w:p w14:paraId="0865DAF3" w14:textId="78F62B3C" w:rsidR="00873B15" w:rsidRPr="00017527" w:rsidRDefault="00BD6357" w:rsidP="00560857">
      <w:pPr>
        <w:ind w:left="0" w:firstLine="0"/>
        <w:rPr>
          <w:rFonts w:eastAsiaTheme="minorEastAsia"/>
          <w:b/>
          <w:i/>
          <w:sz w:val="22"/>
          <w:szCs w:val="22"/>
          <w:lang w:eastAsia="ko-KR"/>
        </w:rPr>
      </w:pPr>
      <w:r w:rsidRPr="00CA73BC">
        <w:rPr>
          <w:sz w:val="22"/>
          <w:szCs w:val="22"/>
          <w:lang w:eastAsia="ko-KR"/>
        </w:rPr>
        <w:t xml:space="preserve">In this contribution, we </w:t>
      </w:r>
      <w:r w:rsidR="00FE407E">
        <w:rPr>
          <w:sz w:val="22"/>
          <w:szCs w:val="22"/>
          <w:lang w:eastAsia="ko-KR"/>
        </w:rPr>
        <w:t>provide our views</w:t>
      </w:r>
      <w:r w:rsidR="00CA73BC" w:rsidRPr="00CA73BC">
        <w:rPr>
          <w:rFonts w:eastAsia="바탕체"/>
          <w:sz w:val="22"/>
          <w:szCs w:val="22"/>
          <w:lang w:eastAsia="ko-KR"/>
        </w:rPr>
        <w:t xml:space="preserve"> on</w:t>
      </w:r>
      <w:r w:rsidR="0083692D" w:rsidRPr="00CA73BC">
        <w:rPr>
          <w:sz w:val="22"/>
          <w:szCs w:val="22"/>
          <w:lang w:eastAsia="ko-KR"/>
        </w:rPr>
        <w:t xml:space="preserve"> </w:t>
      </w:r>
      <w:r w:rsidR="002B0952">
        <w:rPr>
          <w:rFonts w:eastAsiaTheme="minorEastAsia" w:hint="eastAsia"/>
          <w:sz w:val="22"/>
          <w:szCs w:val="22"/>
          <w:lang w:eastAsia="ko-KR"/>
        </w:rPr>
        <w:t>ultra-reliability</w:t>
      </w:r>
      <w:r w:rsidR="00280956">
        <w:rPr>
          <w:rFonts w:eastAsiaTheme="minorEastAsia" w:hint="eastAsia"/>
          <w:sz w:val="22"/>
          <w:szCs w:val="22"/>
          <w:lang w:eastAsia="ko-KR"/>
        </w:rPr>
        <w:t xml:space="preserve"> aspects on </w:t>
      </w:r>
      <w:r w:rsidR="00CA284E">
        <w:rPr>
          <w:rFonts w:eastAsiaTheme="minorEastAsia"/>
          <w:sz w:val="22"/>
          <w:szCs w:val="22"/>
          <w:lang w:eastAsia="ko-KR"/>
        </w:rPr>
        <w:t>CQI and MCS table</w:t>
      </w:r>
      <w:r w:rsidR="00280956">
        <w:rPr>
          <w:rFonts w:eastAsiaTheme="minorEastAsia" w:hint="eastAsia"/>
          <w:sz w:val="22"/>
          <w:szCs w:val="22"/>
          <w:lang w:eastAsia="ko-KR"/>
        </w:rPr>
        <w:t xml:space="preserve"> design</w:t>
      </w:r>
      <w:r w:rsidR="007A36BD">
        <w:rPr>
          <w:rFonts w:eastAsiaTheme="minorEastAsia" w:hint="eastAsia"/>
          <w:sz w:val="22"/>
          <w:szCs w:val="22"/>
          <w:lang w:eastAsia="ko-KR"/>
        </w:rPr>
        <w:t xml:space="preserve">. Especially, we focus on </w:t>
      </w:r>
      <w:r w:rsidR="00CA284E">
        <w:rPr>
          <w:rFonts w:eastAsiaTheme="minorEastAsia"/>
          <w:sz w:val="22"/>
          <w:szCs w:val="22"/>
          <w:lang w:eastAsia="ko-KR"/>
        </w:rPr>
        <w:t xml:space="preserve">the assumption on PDSCH or PUSCH transmission </w:t>
      </w:r>
      <w:r w:rsidR="007A36BD">
        <w:rPr>
          <w:rFonts w:eastAsiaTheme="minorEastAsia" w:hint="eastAsia"/>
          <w:sz w:val="22"/>
          <w:szCs w:val="22"/>
          <w:lang w:eastAsia="ko-KR"/>
        </w:rPr>
        <w:t xml:space="preserve">to </w:t>
      </w:r>
      <w:r w:rsidR="00CA284E">
        <w:rPr>
          <w:rFonts w:eastAsiaTheme="minorEastAsia"/>
          <w:sz w:val="22"/>
          <w:szCs w:val="22"/>
          <w:lang w:eastAsia="ko-KR"/>
        </w:rPr>
        <w:t xml:space="preserve">design CQI and MCS table for URLLC. </w:t>
      </w:r>
    </w:p>
    <w:p w14:paraId="2AC7B1A3" w14:textId="0680D636" w:rsidR="00260732" w:rsidRPr="0028212A" w:rsidRDefault="00472DF0" w:rsidP="00260732">
      <w:pPr>
        <w:pStyle w:val="1"/>
        <w:numPr>
          <w:ilvl w:val="0"/>
          <w:numId w:val="2"/>
        </w:numPr>
        <w:spacing w:after="0"/>
        <w:rPr>
          <w:rFonts w:eastAsia="바탕" w:cs="Arial"/>
          <w:b/>
          <w:szCs w:val="32"/>
          <w:lang w:eastAsia="ko-KR"/>
        </w:rPr>
      </w:pPr>
      <w:r>
        <w:rPr>
          <w:rFonts w:eastAsia="바탕" w:cs="Arial"/>
          <w:b/>
          <w:szCs w:val="32"/>
          <w:lang w:eastAsia="ko-KR"/>
        </w:rPr>
        <w:lastRenderedPageBreak/>
        <w:t>Discussion</w:t>
      </w:r>
      <w:r w:rsidR="00080BB1">
        <w:rPr>
          <w:rFonts w:eastAsia="바탕" w:cs="Arial"/>
          <w:b/>
          <w:szCs w:val="32"/>
          <w:lang w:eastAsia="ko-KR"/>
        </w:rPr>
        <w:t xml:space="preserve"> on BLER target</w:t>
      </w:r>
    </w:p>
    <w:p w14:paraId="758E217A" w14:textId="77777777" w:rsidR="009A7053" w:rsidRPr="009A7053" w:rsidRDefault="005A3A5C" w:rsidP="009A7053">
      <w:pPr>
        <w:ind w:left="0" w:firstLine="0"/>
        <w:rPr>
          <w:rFonts w:eastAsiaTheme="minorEastAsia"/>
          <w:sz w:val="22"/>
          <w:lang w:eastAsia="ko-KR"/>
        </w:rPr>
      </w:pPr>
      <w:r>
        <w:rPr>
          <w:rFonts w:eastAsiaTheme="minorEastAsia"/>
          <w:sz w:val="22"/>
          <w:lang w:eastAsia="ko-KR"/>
        </w:rPr>
        <w:t xml:space="preserve">On the </w:t>
      </w:r>
      <w:r>
        <w:rPr>
          <w:rFonts w:eastAsiaTheme="minorEastAsia" w:hint="eastAsia"/>
          <w:sz w:val="22"/>
          <w:lang w:eastAsia="ko-KR"/>
        </w:rPr>
        <w:t>CQI and MCS table design</w:t>
      </w:r>
      <w:r>
        <w:rPr>
          <w:rFonts w:eastAsiaTheme="minorEastAsia"/>
          <w:sz w:val="22"/>
          <w:lang w:eastAsia="ko-KR"/>
        </w:rPr>
        <w:t xml:space="preserve">, </w:t>
      </w:r>
      <w:r w:rsidR="009A7053">
        <w:rPr>
          <w:rFonts w:eastAsiaTheme="minorEastAsia"/>
          <w:sz w:val="22"/>
          <w:lang w:eastAsia="ko-KR"/>
        </w:rPr>
        <w:t xml:space="preserve">it had been agreed that two BLER target shall be down-selected </w:t>
      </w:r>
      <w:r w:rsidR="009A7053" w:rsidRPr="009A7053">
        <w:rPr>
          <w:rFonts w:eastAsiaTheme="minorEastAsia"/>
          <w:sz w:val="22"/>
          <w:lang w:eastAsia="ko-KR"/>
        </w:rPr>
        <w:t>from one of the following options:</w:t>
      </w:r>
    </w:p>
    <w:p w14:paraId="68A73770" w14:textId="02E0409B" w:rsidR="009A7053" w:rsidRPr="00372C5A" w:rsidRDefault="009A7053" w:rsidP="00372C5A">
      <w:pPr>
        <w:pStyle w:val="ad"/>
        <w:numPr>
          <w:ilvl w:val="0"/>
          <w:numId w:val="39"/>
        </w:numPr>
        <w:ind w:leftChars="0"/>
        <w:rPr>
          <w:rFonts w:eastAsiaTheme="minorEastAsia"/>
          <w:sz w:val="22"/>
        </w:rPr>
      </w:pPr>
      <w:r w:rsidRPr="00372C5A">
        <w:rPr>
          <w:rFonts w:ascii="Times New Roman" w:eastAsiaTheme="minorEastAsia" w:hAnsi="Times New Roman" w:cs="Times New Roman"/>
          <w:sz w:val="22"/>
        </w:rPr>
        <w:t>Option A. (10-1, 10-4)</w:t>
      </w:r>
    </w:p>
    <w:p w14:paraId="7206A6AA" w14:textId="545AE0EE" w:rsidR="009A7053" w:rsidRPr="00372C5A" w:rsidRDefault="009A7053" w:rsidP="00372C5A">
      <w:pPr>
        <w:pStyle w:val="ad"/>
        <w:numPr>
          <w:ilvl w:val="0"/>
          <w:numId w:val="39"/>
        </w:numPr>
        <w:ind w:leftChars="0"/>
        <w:rPr>
          <w:rFonts w:eastAsiaTheme="minorEastAsia"/>
          <w:sz w:val="22"/>
        </w:rPr>
      </w:pPr>
      <w:r w:rsidRPr="00372C5A">
        <w:rPr>
          <w:rFonts w:ascii="Times New Roman" w:eastAsiaTheme="minorEastAsia" w:hAnsi="Times New Roman" w:cs="Times New Roman"/>
          <w:sz w:val="22"/>
        </w:rPr>
        <w:t>Option B. (10-1, 10-5)</w:t>
      </w:r>
    </w:p>
    <w:p w14:paraId="0434C5F1" w14:textId="61DD5718" w:rsidR="009A7053" w:rsidRPr="00372C5A" w:rsidRDefault="009A7053" w:rsidP="00372C5A">
      <w:pPr>
        <w:pStyle w:val="ad"/>
        <w:numPr>
          <w:ilvl w:val="0"/>
          <w:numId w:val="39"/>
        </w:numPr>
        <w:ind w:leftChars="0"/>
        <w:rPr>
          <w:rFonts w:eastAsiaTheme="minorEastAsia"/>
          <w:sz w:val="22"/>
        </w:rPr>
      </w:pPr>
      <w:r w:rsidRPr="00372C5A">
        <w:rPr>
          <w:rFonts w:ascii="Times New Roman" w:eastAsiaTheme="minorEastAsia" w:hAnsi="Times New Roman" w:cs="Times New Roman"/>
          <w:sz w:val="22"/>
        </w:rPr>
        <w:t xml:space="preserve">Option C. (10-3, 10-5) </w:t>
      </w:r>
    </w:p>
    <w:p w14:paraId="7CE66A98" w14:textId="112BB753" w:rsidR="009A7053" w:rsidRPr="00EC220C" w:rsidRDefault="009A7053" w:rsidP="00372C5A">
      <w:pPr>
        <w:pStyle w:val="ad"/>
        <w:numPr>
          <w:ilvl w:val="0"/>
          <w:numId w:val="39"/>
        </w:numPr>
        <w:ind w:leftChars="0"/>
        <w:rPr>
          <w:rFonts w:eastAsiaTheme="minorEastAsia"/>
          <w:sz w:val="22"/>
        </w:rPr>
      </w:pPr>
      <w:r w:rsidRPr="00372C5A">
        <w:rPr>
          <w:rFonts w:ascii="Times New Roman" w:eastAsiaTheme="minorEastAsia" w:hAnsi="Times New Roman" w:cs="Times New Roman"/>
          <w:sz w:val="22"/>
        </w:rPr>
        <w:t>Option D. (10-2, 10-4)</w:t>
      </w:r>
    </w:p>
    <w:p w14:paraId="5CE99B12" w14:textId="1960DC3E" w:rsidR="009A7053" w:rsidRDefault="009A7053" w:rsidP="00372C5A">
      <w:pPr>
        <w:pStyle w:val="10"/>
      </w:pPr>
      <w:r>
        <w:t xml:space="preserve">To decide one of those, we have to consider some properties first. One is a benefit of 10^-1 BLER target. When we consider </w:t>
      </w:r>
      <w:r w:rsidR="004073B7">
        <w:t xml:space="preserve">the UE which supports both services, eMBB and URLLC, it is good to have same BLER target and CQI table. It would make it possible to support URLLC service without redundant CSI configuration. </w:t>
      </w:r>
      <w:r w:rsidR="00D15EA1">
        <w:t xml:space="preserve">Therefore, if we can agree that those options do not have significant difference in terms of performance, </w:t>
      </w:r>
      <w:r w:rsidR="003755A6">
        <w:t>we suggest to select BLER target among option A and B.</w:t>
      </w:r>
    </w:p>
    <w:p w14:paraId="796C93D6" w14:textId="6FA61EC2" w:rsidR="0015370C" w:rsidRDefault="0015370C" w:rsidP="00372C5A">
      <w:pPr>
        <w:pStyle w:val="Proposal"/>
      </w:pPr>
      <w:r w:rsidRPr="00EC220C">
        <w:t xml:space="preserve">Observation </w:t>
      </w:r>
      <w:r>
        <w:t>1</w:t>
      </w:r>
      <w:r w:rsidRPr="00EC220C">
        <w:t xml:space="preserve">: </w:t>
      </w:r>
      <w:r>
        <w:t>Option A and B can be preferred with consideration of the UE which support both eMBB and URLLC.</w:t>
      </w:r>
    </w:p>
    <w:p w14:paraId="3A3AB5D4" w14:textId="67718FA4" w:rsidR="00443BEF" w:rsidRDefault="00080BB1" w:rsidP="00372C5A">
      <w:pPr>
        <w:pStyle w:val="10"/>
      </w:pPr>
      <w:r>
        <w:t xml:space="preserve">Main difference between two options is the presence of the </w:t>
      </w:r>
      <m:oMath>
        <m:sSup>
          <m:sSupPr>
            <m:ctrlPr>
              <w:rPr>
                <w:rFonts w:ascii="Cambria Math" w:hAnsi="Cambria Math"/>
              </w:rPr>
            </m:ctrlPr>
          </m:sSupPr>
          <m:e>
            <m:r>
              <w:rPr>
                <w:rFonts w:ascii="Cambria Math" w:hAnsi="Cambria Math"/>
              </w:rPr>
              <m:t>10</m:t>
            </m:r>
          </m:e>
          <m:sup>
            <m:r>
              <w:rPr>
                <w:rFonts w:ascii="Cambria Math" w:hAnsi="Cambria Math"/>
              </w:rPr>
              <m:t>-5</m:t>
            </m:r>
          </m:sup>
        </m:sSup>
      </m:oMath>
      <w:r>
        <w:t xml:space="preserve">. Since URLLC reliability requirement is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-5</m:t>
            </m:r>
          </m:sup>
        </m:sSup>
      </m:oMath>
      <w:r>
        <w:t xml:space="preserve">, It seems reasonable to take </w:t>
      </w:r>
      <m:oMath>
        <m:sSup>
          <m:sSupPr>
            <m:ctrlPr>
              <w:rPr>
                <w:rFonts w:ascii="Cambria Math" w:hAnsi="Cambria Math"/>
              </w:rPr>
            </m:ctrlPr>
          </m:sSupPr>
          <m:e>
            <m:r>
              <w:rPr>
                <w:rFonts w:ascii="Cambria Math" w:hAnsi="Cambria Math"/>
              </w:rPr>
              <m:t>10</m:t>
            </m:r>
          </m:e>
          <m:sup>
            <m:r>
              <w:rPr>
                <w:rFonts w:ascii="Cambria Math" w:hAnsi="Cambria Math"/>
              </w:rPr>
              <m:t>-5</m:t>
            </m:r>
          </m:sup>
        </m:sSup>
      </m:oMath>
      <w:r>
        <w:t xml:space="preserve"> as a BLER target. </w:t>
      </w:r>
      <w:r w:rsidR="00DF0D14">
        <w:t xml:space="preserve">Regarding latency aspect, it is clear that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-5</m:t>
            </m:r>
          </m:sup>
        </m:sSup>
      </m:oMath>
      <w:r w:rsidR="00DF0D14">
        <w:rPr>
          <w:rFonts w:hint="eastAsia"/>
        </w:rPr>
        <w:t xml:space="preserve"> BLER </w:t>
      </w:r>
      <w:r w:rsidR="00DF0D14">
        <w:t>i</w:t>
      </w:r>
      <w:r w:rsidR="00DF0D14">
        <w:rPr>
          <w:rFonts w:hint="eastAsia"/>
        </w:rPr>
        <w:t>s able to achi</w:t>
      </w:r>
      <w:r w:rsidR="00DF0D14">
        <w:t>e</w:t>
      </w:r>
      <w:r w:rsidR="00DF0D14">
        <w:rPr>
          <w:rFonts w:hint="eastAsia"/>
        </w:rPr>
        <w:t xml:space="preserve">ve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-5</m:t>
            </m:r>
          </m:sup>
        </m:sSup>
      </m:oMath>
      <w:r w:rsidR="00DF0D14">
        <w:rPr>
          <w:rFonts w:hint="eastAsia"/>
        </w:rPr>
        <w:t xml:space="preserve"> reliability target </w:t>
      </w:r>
      <w:r w:rsidR="00DF0D14">
        <w:t xml:space="preserve">without re-transmission. For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-4</m:t>
            </m:r>
          </m:sup>
        </m:sSup>
      </m:oMath>
      <w:r w:rsidR="00DF0D14">
        <w:rPr>
          <w:rFonts w:hint="eastAsia"/>
        </w:rPr>
        <w:t xml:space="preserve"> </w:t>
      </w:r>
      <w:r w:rsidR="00DF0D14">
        <w:t xml:space="preserve">BLER, we can adopt </w:t>
      </w:r>
      <w:r w:rsidR="00443BEF">
        <w:t>re-transmissio</w:t>
      </w:r>
      <w:r w:rsidR="00DF0D14">
        <w:t xml:space="preserve">n before reception of </w:t>
      </w:r>
      <w:r w:rsidR="00443BEF">
        <w:t xml:space="preserve">acknowledgement, i.e., repetition or slot-aggregation, it would </w:t>
      </w:r>
      <w:r w:rsidR="00DF0D14">
        <w:t>bring</w:t>
      </w:r>
      <w:r w:rsidR="00443BEF">
        <w:t xml:space="preserve"> </w:t>
      </w:r>
      <w:r w:rsidR="00DF0D14">
        <w:t>less achieved</w:t>
      </w:r>
      <w:r w:rsidR="00443BEF">
        <w:t xml:space="preserve"> </w:t>
      </w:r>
      <w:r w:rsidR="00DF0D14">
        <w:t>latency even with two of transmission</w:t>
      </w:r>
      <w:r w:rsidR="00443BEF">
        <w:t xml:space="preserve">. </w:t>
      </w:r>
      <w:r w:rsidR="00DF0D14">
        <w:t>However, it also bring</w:t>
      </w:r>
      <w:r w:rsidR="0037206A">
        <w:t>s</w:t>
      </w:r>
      <w:r w:rsidR="00DF0D14">
        <w:t xml:space="preserve"> less resource efficiency</w:t>
      </w:r>
      <w:r w:rsidR="002C7B03">
        <w:t xml:space="preserve"> and </w:t>
      </w:r>
      <w:r w:rsidR="0037206A">
        <w:t xml:space="preserve">affects </w:t>
      </w:r>
      <w:r w:rsidR="002C7B03">
        <w:t>scheduling flexibility</w:t>
      </w:r>
      <w:r w:rsidR="00DF0D14">
        <w:t xml:space="preserve">. </w:t>
      </w:r>
    </w:p>
    <w:p w14:paraId="42BC911D" w14:textId="494D83D4" w:rsidR="00DF0D14" w:rsidRPr="002C7B03" w:rsidRDefault="00DF0D14" w:rsidP="00372C5A">
      <w:pPr>
        <w:pStyle w:val="10"/>
      </w:pPr>
      <w:r>
        <w:t xml:space="preserve">As in figure 1, there is only slight gap of SNIR between </w:t>
      </w:r>
      <w:r>
        <w:rPr>
          <w:rFonts w:hint="eastAsia"/>
        </w:rPr>
        <w:t xml:space="preserve">BLER </w:t>
      </w:r>
      <w:r>
        <w:t xml:space="preserve">of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-4</m:t>
            </m:r>
          </m:sup>
        </m:sSup>
      </m:oMath>
      <w:r>
        <w:rPr>
          <w:rFonts w:hint="eastAsia"/>
        </w:rPr>
        <w:t xml:space="preserve"> and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-5</m:t>
            </m:r>
          </m:sup>
        </m:sSup>
      </m:oMath>
      <w:r w:rsidR="005D4293">
        <w:t xml:space="preserve">. On the other hand, different code rate makes significant SNIR gaps. In other words, There wouldn’t be a meaningful gap of code rate between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-4</m:t>
            </m:r>
          </m:sup>
        </m:sSup>
      </m:oMath>
      <w:r w:rsidR="005D4293">
        <w:rPr>
          <w:rFonts w:hint="eastAsia"/>
        </w:rPr>
        <w:t xml:space="preserve"> and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-5</m:t>
            </m:r>
          </m:sup>
        </m:sSup>
      </m:oMath>
      <w:r w:rsidR="005D4293">
        <w:t xml:space="preserve">. </w:t>
      </w:r>
      <w:r>
        <w:t xml:space="preserve">Thus </w:t>
      </w:r>
      <w:r w:rsidR="002C7B03">
        <w:t xml:space="preserve">we can say that a single-shot transmission of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-5</m:t>
            </m:r>
          </m:sup>
        </m:sSup>
      </m:oMath>
      <w:r w:rsidR="002C7B03">
        <w:rPr>
          <w:rFonts w:hint="eastAsia"/>
        </w:rPr>
        <w:t xml:space="preserve"> </w:t>
      </w:r>
      <w:r w:rsidR="002C7B03">
        <w:t xml:space="preserve">would be resource efficient compared to repetition of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-4</m:t>
            </m:r>
          </m:sup>
        </m:sSup>
      </m:oMath>
      <w:r w:rsidR="002C7B03">
        <w:t xml:space="preserve">. Moreover, since slopes at those points are quite similar, it is not expected for these BLER target to bring different CQI accuracies. </w:t>
      </w:r>
    </w:p>
    <w:p w14:paraId="67F6586C" w14:textId="25291E07" w:rsidR="00D91C37" w:rsidRDefault="00D91C37" w:rsidP="00D91C37">
      <w:pPr>
        <w:pStyle w:val="Proposal"/>
      </w:pPr>
      <w:r w:rsidRPr="00245F6A">
        <w:rPr>
          <w:rFonts w:hint="eastAsia"/>
        </w:rPr>
        <w:t xml:space="preserve">Observation </w:t>
      </w:r>
      <w:r w:rsidR="00372C5A">
        <w:t>2</w:t>
      </w:r>
      <w:r w:rsidRPr="00245F6A">
        <w:rPr>
          <w:rFonts w:hint="eastAsia"/>
        </w:rPr>
        <w:t xml:space="preserve">: </w:t>
      </w:r>
      <w:r>
        <w:t xml:space="preserve">Option </w:t>
      </w:r>
      <w:r w:rsidR="002C7B03">
        <w:t>B</w:t>
      </w:r>
      <w:r>
        <w:t xml:space="preserve"> can be preferred in terms of resource efficiency.</w:t>
      </w:r>
    </w:p>
    <w:p w14:paraId="31B6E635" w14:textId="223FBD17" w:rsidR="00080BB1" w:rsidRDefault="005D4293" w:rsidP="00AD6CD1">
      <w:pPr>
        <w:pStyle w:val="Proposal"/>
        <w:jc w:val="center"/>
      </w:pPr>
      <w:r>
        <w:rPr>
          <w:noProof/>
          <w:lang w:val="en-US"/>
        </w:rPr>
        <w:lastRenderedPageBreak/>
        <w:drawing>
          <wp:inline distT="0" distB="0" distL="0" distR="0" wp14:anchorId="2CFE5DB0" wp14:editId="2187847A">
            <wp:extent cx="5040000" cy="3710841"/>
            <wp:effectExtent l="0" t="0" r="8255" b="444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0" cy="3710841"/>
                    </a:xfrm>
                    <a:prstGeom prst="rect">
                      <a:avLst/>
                    </a:prstGeom>
                    <a:noFill/>
                  </pic:spPr>
                </pic:pic>
              </a:graphicData>
            </a:graphic>
          </wp:inline>
        </w:drawing>
      </w:r>
    </w:p>
    <w:p w14:paraId="7C967CEA" w14:textId="6C37C0C2" w:rsidR="005D4293" w:rsidRDefault="005D4293" w:rsidP="005D4293">
      <w:pPr>
        <w:pStyle w:val="10"/>
        <w:jc w:val="center"/>
      </w:pPr>
      <w:r>
        <w:rPr>
          <w:rFonts w:hint="eastAsia"/>
        </w:rPr>
        <w:t xml:space="preserve">Figure </w:t>
      </w:r>
      <w:r>
        <w:t>1</w:t>
      </w:r>
      <w:r>
        <w:rPr>
          <w:rFonts w:hint="eastAsia"/>
        </w:rPr>
        <w:t>. FER difference at lower coding rate</w:t>
      </w:r>
    </w:p>
    <w:p w14:paraId="64E82D58" w14:textId="79DC8948" w:rsidR="00080BB1" w:rsidRPr="0028212A" w:rsidRDefault="00080BB1" w:rsidP="00080BB1">
      <w:pPr>
        <w:pStyle w:val="1"/>
        <w:numPr>
          <w:ilvl w:val="0"/>
          <w:numId w:val="2"/>
        </w:numPr>
        <w:spacing w:after="0"/>
        <w:rPr>
          <w:rFonts w:eastAsia="바탕" w:cs="Arial"/>
          <w:b/>
          <w:szCs w:val="32"/>
          <w:lang w:eastAsia="ko-KR"/>
        </w:rPr>
      </w:pPr>
      <w:r>
        <w:rPr>
          <w:rFonts w:eastAsia="바탕" w:cs="Arial"/>
          <w:b/>
          <w:szCs w:val="32"/>
          <w:lang w:eastAsia="ko-KR"/>
        </w:rPr>
        <w:t>Discussion on CQI/MCS table entry</w:t>
      </w:r>
    </w:p>
    <w:p w14:paraId="662DD181" w14:textId="0A194F6D" w:rsidR="00816FD9" w:rsidRDefault="00B04559" w:rsidP="0015370C">
      <w:pPr>
        <w:ind w:left="0" w:firstLineChars="250" w:firstLine="550"/>
        <w:rPr>
          <w:rFonts w:eastAsiaTheme="minorEastAsia"/>
          <w:sz w:val="22"/>
          <w:lang w:eastAsia="ko-KR"/>
        </w:rPr>
      </w:pPr>
      <w:r>
        <w:rPr>
          <w:rFonts w:eastAsiaTheme="minorEastAsia"/>
          <w:sz w:val="22"/>
          <w:lang w:eastAsia="ko-KR"/>
        </w:rPr>
        <w:t xml:space="preserve">To design CQI/MCS table entry, it is necessary to define reference transmission format at least TBS. To be specific, </w:t>
      </w:r>
      <w:r w:rsidR="0015370C">
        <w:rPr>
          <w:rFonts w:eastAsiaTheme="minorEastAsia"/>
          <w:sz w:val="22"/>
          <w:lang w:eastAsia="ko-KR"/>
        </w:rPr>
        <w:t xml:space="preserve">for a given coding rate and modulation order, the slope of the BLER curve can be different depending on the length of the coded bits, which is determined by the amount of the allocated resources and modulation order. For instance, the slope of the BLER curve of LDPC codes could be relatively gradual especially when the length of coded bits is small, and the slope of the BLER curve become steeper as the length of coded bits increases. Therefore, for a given SINR range, the set of CQI/MCS states could be different depending on the length of coded bits. </w:t>
      </w:r>
      <w:r w:rsidR="00816FD9">
        <w:rPr>
          <w:rFonts w:eastAsiaTheme="minorEastAsia"/>
          <w:sz w:val="22"/>
          <w:lang w:eastAsia="ko-KR"/>
        </w:rPr>
        <w:t xml:space="preserve">Figure </w:t>
      </w:r>
      <w:r w:rsidR="005D4293">
        <w:rPr>
          <w:rFonts w:eastAsiaTheme="minorEastAsia"/>
          <w:sz w:val="22"/>
          <w:lang w:eastAsia="ko-KR"/>
        </w:rPr>
        <w:t xml:space="preserve">2 </w:t>
      </w:r>
      <w:r w:rsidR="00816FD9">
        <w:rPr>
          <w:rFonts w:eastAsiaTheme="minorEastAsia"/>
          <w:sz w:val="22"/>
          <w:lang w:eastAsia="ko-KR"/>
        </w:rPr>
        <w:t>shows difference in slopes of BLER curve between 32 byte and 100 bytes TBS</w:t>
      </w:r>
      <w:r w:rsidR="00400B55">
        <w:rPr>
          <w:rFonts w:eastAsiaTheme="minorEastAsia"/>
          <w:sz w:val="22"/>
          <w:lang w:eastAsia="ko-KR"/>
        </w:rPr>
        <w:t xml:space="preserve"> at lowest coding rate</w:t>
      </w:r>
      <w:r w:rsidR="00816FD9">
        <w:rPr>
          <w:rFonts w:eastAsiaTheme="minorEastAsia"/>
          <w:sz w:val="22"/>
          <w:lang w:eastAsia="ko-KR"/>
        </w:rPr>
        <w:t xml:space="preserve">. For 32 bytes case, there is 0.4 dB gap between 10^-3 and 10^-4. On the other hand, 100 bytes case has only 0.2 dB gap between 10^-3 and 10^-4. </w:t>
      </w:r>
      <w:r w:rsidR="00400B55">
        <w:rPr>
          <w:rFonts w:eastAsiaTheme="minorEastAsia"/>
          <w:sz w:val="22"/>
          <w:lang w:eastAsia="ko-KR"/>
        </w:rPr>
        <w:t xml:space="preserve">It means shorter coded bit </w:t>
      </w:r>
      <w:r w:rsidR="00867600">
        <w:rPr>
          <w:rFonts w:eastAsiaTheme="minorEastAsia"/>
          <w:sz w:val="22"/>
          <w:lang w:eastAsia="ko-KR"/>
        </w:rPr>
        <w:t xml:space="preserve">length </w:t>
      </w:r>
      <w:r w:rsidR="007A6E13">
        <w:rPr>
          <w:rFonts w:eastAsiaTheme="minorEastAsia"/>
          <w:sz w:val="22"/>
          <w:lang w:eastAsia="ko-KR"/>
        </w:rPr>
        <w:t xml:space="preserve">would make difference between different BLER </w:t>
      </w:r>
      <w:r w:rsidR="00D430AF">
        <w:rPr>
          <w:rFonts w:eastAsiaTheme="minorEastAsia"/>
          <w:sz w:val="22"/>
          <w:lang w:eastAsia="ko-KR"/>
        </w:rPr>
        <w:t>targets</w:t>
      </w:r>
      <w:r w:rsidR="007A6E13">
        <w:rPr>
          <w:rFonts w:eastAsiaTheme="minorEastAsia"/>
          <w:sz w:val="22"/>
          <w:lang w:eastAsia="ko-KR"/>
        </w:rPr>
        <w:t xml:space="preserve">. And it is more suitable for URLLC use case. </w:t>
      </w:r>
    </w:p>
    <w:p w14:paraId="5674FBCC" w14:textId="40CD481C" w:rsidR="005905FF" w:rsidRDefault="00E51A4D" w:rsidP="005905FF">
      <w:pPr>
        <w:pStyle w:val="Proposal"/>
      </w:pPr>
      <w:r>
        <w:rPr>
          <w:rFonts w:hint="eastAsia"/>
        </w:rPr>
        <w:t xml:space="preserve">Proposal </w:t>
      </w:r>
      <w:r>
        <w:t>1</w:t>
      </w:r>
      <w:r w:rsidR="005905FF">
        <w:rPr>
          <w:rFonts w:hint="eastAsia"/>
        </w:rPr>
        <w:t>:</w:t>
      </w:r>
      <w:r w:rsidR="005905FF">
        <w:t xml:space="preserve"> For CQI/MCS entry design, 32 bytes transport block size should be considered as a reference.</w:t>
      </w:r>
    </w:p>
    <w:p w14:paraId="0261C9BB" w14:textId="77777777" w:rsidR="0015370C" w:rsidRPr="00EC220C" w:rsidRDefault="0015370C" w:rsidP="00372C5A">
      <w:pPr>
        <w:pStyle w:val="Proposal"/>
        <w:ind w:left="0" w:firstLine="0"/>
      </w:pPr>
    </w:p>
    <w:p w14:paraId="150AA72D" w14:textId="33490EDC" w:rsidR="009A7053" w:rsidRDefault="00B01A7A" w:rsidP="00372C5A">
      <w:pPr>
        <w:pStyle w:val="10"/>
        <w:jc w:val="center"/>
      </w:pPr>
      <w:r>
        <w:rPr>
          <w:noProof/>
          <w:lang w:val="en-US"/>
        </w:rPr>
        <w:lastRenderedPageBreak/>
        <w:drawing>
          <wp:inline distT="0" distB="0" distL="0" distR="0" wp14:anchorId="73173D95" wp14:editId="47121B03">
            <wp:extent cx="5040000" cy="3710842"/>
            <wp:effectExtent l="0" t="0" r="8255" b="444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0" cy="3710842"/>
                    </a:xfrm>
                    <a:prstGeom prst="rect">
                      <a:avLst/>
                    </a:prstGeom>
                    <a:noFill/>
                  </pic:spPr>
                </pic:pic>
              </a:graphicData>
            </a:graphic>
          </wp:inline>
        </w:drawing>
      </w:r>
    </w:p>
    <w:p w14:paraId="37946CE9" w14:textId="0808BB1A" w:rsidR="00157085" w:rsidRDefault="00157085" w:rsidP="00372C5A">
      <w:pPr>
        <w:pStyle w:val="10"/>
        <w:jc w:val="center"/>
      </w:pPr>
      <w:r>
        <w:rPr>
          <w:rFonts w:hint="eastAsia"/>
        </w:rPr>
        <w:t xml:space="preserve">Figure </w:t>
      </w:r>
      <w:r w:rsidR="005D4293">
        <w:t>2</w:t>
      </w:r>
      <w:r>
        <w:rPr>
          <w:rFonts w:hint="eastAsia"/>
        </w:rPr>
        <w:t>. FER difference according to T</w:t>
      </w:r>
      <w:r>
        <w:t>BS</w:t>
      </w:r>
    </w:p>
    <w:p w14:paraId="220D7183" w14:textId="727DFD75" w:rsidR="00263859" w:rsidRPr="00263859" w:rsidRDefault="00263859">
      <w:pPr>
        <w:ind w:left="0" w:firstLine="0"/>
        <w:rPr>
          <w:rFonts w:eastAsiaTheme="minorEastAsia"/>
          <w:b/>
          <w:i/>
          <w:sz w:val="22"/>
          <w:lang w:eastAsia="ko-KR"/>
        </w:rPr>
      </w:pPr>
    </w:p>
    <w:p w14:paraId="525CEE20" w14:textId="51FE9841" w:rsidR="00255B26" w:rsidRDefault="005905FF" w:rsidP="00372C5A">
      <w:pPr>
        <w:pStyle w:val="10"/>
      </w:pPr>
      <w:r>
        <w:rPr>
          <w:rFonts w:hint="eastAsia"/>
        </w:rPr>
        <w:t xml:space="preserve">In the last </w:t>
      </w:r>
      <w:r>
        <w:t xml:space="preserve">meetings, </w:t>
      </w:r>
      <w:r w:rsidR="00381B8A">
        <w:t>four candidate is agreed to de</w:t>
      </w:r>
      <w:r w:rsidR="0085698E">
        <w:t>cide h</w:t>
      </w:r>
      <w:r w:rsidR="006C16AF">
        <w:t xml:space="preserve">ighest spectral efficiency for CQI and MCS table. </w:t>
      </w:r>
      <w:r w:rsidR="00967251">
        <w:t>Basically, it can</w:t>
      </w:r>
      <w:r w:rsidR="00CD7996">
        <w:t xml:space="preserve"> be considered whether to fit with target range of SINR or not for each candidates. Figure </w:t>
      </w:r>
      <w:r w:rsidR="005D4293">
        <w:t>3</w:t>
      </w:r>
      <w:r w:rsidR="00CD7996">
        <w:t xml:space="preserve"> shows FER performance for each value. In case of lowest value, 666/1024, SNR of 15.8 dB is required to meet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-4</m:t>
            </m:r>
          </m:sup>
        </m:sSup>
      </m:oMath>
      <w:r w:rsidR="00CD7996">
        <w:rPr>
          <w:rFonts w:hint="eastAsia"/>
        </w:rPr>
        <w:t xml:space="preserve"> reliability. </w:t>
      </w:r>
      <w:r w:rsidR="007B5A13">
        <w:t xml:space="preserve">On the other hand, in case of the largest value, the code rate of 948/1024 requires </w:t>
      </w:r>
      <w:r w:rsidR="007B5A13">
        <w:rPr>
          <w:rFonts w:hint="eastAsia"/>
        </w:rPr>
        <w:t xml:space="preserve">SNR of </w:t>
      </w:r>
      <w:r w:rsidR="007B5A13">
        <w:t xml:space="preserve">25.3 dB. It means </w:t>
      </w:r>
      <w:r w:rsidR="007B5A13">
        <w:rPr>
          <w:rFonts w:hint="eastAsia"/>
        </w:rPr>
        <w:t>that the candidates of lower code rate will have lower throughput at higher SNR</w:t>
      </w:r>
      <w:r w:rsidR="007B5A13">
        <w:t>.</w:t>
      </w:r>
      <w:r w:rsidR="009531CE">
        <w:t xml:space="preserve"> In that sense, it seems beneficial to choose higher code rate than 666/1024 </w:t>
      </w:r>
      <w:r w:rsidR="009531CE" w:rsidRPr="009531CE">
        <w:t xml:space="preserve">to efficiently achieve the target BLER at </w:t>
      </w:r>
      <w:r w:rsidR="009531CE">
        <w:t xml:space="preserve">good channel quality, e.g., </w:t>
      </w:r>
      <w:r w:rsidR="009531CE" w:rsidRPr="009531CE">
        <w:t>approximately 20 dB.</w:t>
      </w:r>
      <w:r w:rsidR="007B5A13">
        <w:t xml:space="preserve"> However, another consideration point is </w:t>
      </w:r>
      <w:r w:rsidR="00873108">
        <w:t>LDPC</w:t>
      </w:r>
      <w:r w:rsidR="009531CE">
        <w:t xml:space="preserve"> coding properties. </w:t>
      </w:r>
      <w:r w:rsidR="00873108">
        <w:t xml:space="preserve">For the higher coding rate than 2/3, it is essential to support base graph 1(BG1) of LDPC. Since BG1 is larger than BG2, i.e., BG1 has more complexity than BG2, it may require more processing time to encoding or decoding scheme. Since the processing time line has to be designed in consideration of the worst case, supporting BG1 can be harmful to meet latency requirement for URLLC services. </w:t>
      </w:r>
      <w:r w:rsidR="00E51A4D">
        <w:t xml:space="preserve">From those point of view, we propose to choose a value of 666/1024 as the greatest value of both CQI and MCS table entries. </w:t>
      </w:r>
    </w:p>
    <w:p w14:paraId="54879B0F" w14:textId="0FB1D84B" w:rsidR="00E51A4D" w:rsidRPr="00E51A4D" w:rsidRDefault="00E51A4D" w:rsidP="00372C5A">
      <w:pPr>
        <w:pStyle w:val="Proposal"/>
      </w:pPr>
      <w:r>
        <w:rPr>
          <w:rFonts w:hint="eastAsia"/>
        </w:rPr>
        <w:t xml:space="preserve">Proposal </w:t>
      </w:r>
      <w:r>
        <w:t>2</w:t>
      </w:r>
      <w:r>
        <w:rPr>
          <w:rFonts w:hint="eastAsia"/>
        </w:rPr>
        <w:t>:</w:t>
      </w:r>
      <w:r>
        <w:t xml:space="preserve"> </w:t>
      </w:r>
      <w:r w:rsidRPr="00E51A4D">
        <w:t>Highest spectral efficiency in any/all MCS table is not greater than a value</w:t>
      </w:r>
      <w:r>
        <w:t xml:space="preserve"> of 666/1024.</w:t>
      </w:r>
    </w:p>
    <w:p w14:paraId="7C112D54" w14:textId="2241C679" w:rsidR="00255B26" w:rsidRDefault="00B01A7A" w:rsidP="00372C5A">
      <w:pPr>
        <w:pStyle w:val="10"/>
        <w:ind w:firstLineChars="0" w:firstLine="0"/>
        <w:jc w:val="center"/>
      </w:pPr>
      <w:r>
        <w:rPr>
          <w:noProof/>
          <w:lang w:val="en-US"/>
        </w:rPr>
        <w:lastRenderedPageBreak/>
        <w:drawing>
          <wp:inline distT="0" distB="0" distL="0" distR="0" wp14:anchorId="40BB11B3" wp14:editId="088315C5">
            <wp:extent cx="5040000" cy="3710841"/>
            <wp:effectExtent l="0" t="0" r="8255" b="444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0" cy="3710841"/>
                    </a:xfrm>
                    <a:prstGeom prst="rect">
                      <a:avLst/>
                    </a:prstGeom>
                    <a:noFill/>
                  </pic:spPr>
                </pic:pic>
              </a:graphicData>
            </a:graphic>
          </wp:inline>
        </w:drawing>
      </w:r>
    </w:p>
    <w:p w14:paraId="45AAE062" w14:textId="2F23DE37" w:rsidR="007E594E" w:rsidRPr="004A20A0" w:rsidRDefault="00255B26" w:rsidP="00372C5A">
      <w:pPr>
        <w:pStyle w:val="10"/>
        <w:ind w:firstLineChars="0" w:firstLine="0"/>
        <w:jc w:val="center"/>
      </w:pPr>
      <w:r>
        <w:t xml:space="preserve">Figure </w:t>
      </w:r>
      <w:r w:rsidR="005D4293">
        <w:t>3</w:t>
      </w:r>
      <w:r>
        <w:t>. FER performance at candidate for largest coding rate</w:t>
      </w: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2DBD28D5" w14:textId="0F6174E8" w:rsidR="00A53EEF" w:rsidRDefault="0086026D" w:rsidP="008D5C57">
      <w:pPr>
        <w:ind w:left="0" w:hanging="1"/>
        <w:rPr>
          <w:rFonts w:eastAsia="맑은 고딕"/>
          <w:sz w:val="22"/>
          <w:lang w:val="en-US" w:eastAsia="ko-KR"/>
        </w:rPr>
      </w:pPr>
      <w:r>
        <w:rPr>
          <w:rFonts w:eastAsia="맑은 고딕"/>
          <w:sz w:val="22"/>
          <w:lang w:val="en-US" w:eastAsia="ko-KR"/>
        </w:rPr>
        <w:t xml:space="preserve">In this contribution, we </w:t>
      </w:r>
      <w:r w:rsidR="008D5C57">
        <w:rPr>
          <w:rFonts w:eastAsia="맑은 고딕" w:hint="eastAsia"/>
          <w:sz w:val="22"/>
          <w:lang w:val="en-US" w:eastAsia="ko-KR"/>
        </w:rPr>
        <w:t>discuss</w:t>
      </w:r>
      <w:r>
        <w:rPr>
          <w:rFonts w:eastAsia="맑은 고딕"/>
          <w:sz w:val="22"/>
          <w:lang w:val="en-US" w:eastAsia="ko-KR"/>
        </w:rPr>
        <w:t xml:space="preserve"> </w:t>
      </w:r>
      <w:r w:rsidR="002D4267">
        <w:rPr>
          <w:rFonts w:eastAsiaTheme="minorEastAsia" w:hint="eastAsia"/>
          <w:sz w:val="22"/>
          <w:szCs w:val="22"/>
          <w:lang w:eastAsia="ko-KR"/>
        </w:rPr>
        <w:t>ultra-reliability</w:t>
      </w:r>
      <w:r w:rsidR="00280956">
        <w:rPr>
          <w:rFonts w:eastAsiaTheme="minorEastAsia" w:hint="eastAsia"/>
          <w:sz w:val="22"/>
          <w:szCs w:val="22"/>
          <w:lang w:eastAsia="ko-KR"/>
        </w:rPr>
        <w:t xml:space="preserve"> aspects on </w:t>
      </w:r>
      <w:r w:rsidR="00472DF0">
        <w:rPr>
          <w:rFonts w:eastAsiaTheme="minorEastAsia"/>
          <w:sz w:val="22"/>
          <w:szCs w:val="22"/>
          <w:lang w:eastAsia="ko-KR"/>
        </w:rPr>
        <w:t>CQI and MCS table</w:t>
      </w:r>
      <w:r w:rsidR="00280956">
        <w:rPr>
          <w:rFonts w:eastAsiaTheme="minorEastAsia" w:hint="eastAsia"/>
          <w:sz w:val="22"/>
          <w:szCs w:val="22"/>
          <w:lang w:eastAsia="ko-KR"/>
        </w:rPr>
        <w:t xml:space="preserve"> design</w:t>
      </w:r>
      <w:r w:rsidR="00EF75A1">
        <w:rPr>
          <w:rFonts w:eastAsia="맑은 고딕"/>
          <w:sz w:val="22"/>
          <w:lang w:val="en-US" w:eastAsia="ko-KR"/>
        </w:rPr>
        <w:t>.</w:t>
      </w:r>
      <w:r>
        <w:rPr>
          <w:rFonts w:eastAsia="맑은 고딕"/>
          <w:sz w:val="22"/>
          <w:lang w:val="en-US" w:eastAsia="ko-KR"/>
        </w:rPr>
        <w:t xml:space="preserve"> </w:t>
      </w:r>
      <w:r w:rsidR="00EF75A1">
        <w:rPr>
          <w:rFonts w:eastAsia="맑은 고딕"/>
          <w:sz w:val="22"/>
          <w:lang w:val="en-US" w:eastAsia="ko-KR"/>
        </w:rPr>
        <w:t>O</w:t>
      </w:r>
      <w:r w:rsidR="00A53EEF" w:rsidRPr="00C32C24">
        <w:rPr>
          <w:rFonts w:eastAsia="맑은 고딕" w:hint="eastAsia"/>
          <w:sz w:val="22"/>
          <w:lang w:val="en-US" w:eastAsia="ko-KR"/>
        </w:rPr>
        <w:t xml:space="preserve">ur </w:t>
      </w:r>
      <w:r>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14:paraId="425C065F" w14:textId="77777777" w:rsidR="00372C5A" w:rsidRDefault="00372C5A" w:rsidP="00372C5A">
      <w:pPr>
        <w:pStyle w:val="Proposal"/>
      </w:pPr>
      <w:r w:rsidRPr="00EC220C">
        <w:t xml:space="preserve">Observation </w:t>
      </w:r>
      <w:r>
        <w:t>1</w:t>
      </w:r>
      <w:r w:rsidRPr="00EC220C">
        <w:t xml:space="preserve">: </w:t>
      </w:r>
      <w:r>
        <w:t>Option A and B can be preferred with consideration of the UE which support both eMBB and URLLC.</w:t>
      </w:r>
    </w:p>
    <w:p w14:paraId="156F28AD" w14:textId="0E10AD57" w:rsidR="00DC782C" w:rsidRPr="00372C5A" w:rsidRDefault="00372C5A" w:rsidP="008D5C57">
      <w:pPr>
        <w:ind w:left="0" w:hanging="1"/>
        <w:rPr>
          <w:rFonts w:eastAsiaTheme="minorEastAsia"/>
          <w:b/>
          <w:bCs/>
          <w:i/>
          <w:sz w:val="22"/>
          <w:lang w:eastAsia="ko-KR"/>
        </w:rPr>
      </w:pPr>
      <w:r w:rsidRPr="00372C5A">
        <w:rPr>
          <w:rFonts w:eastAsiaTheme="minorEastAsia" w:hint="eastAsia"/>
          <w:b/>
          <w:bCs/>
          <w:i/>
          <w:sz w:val="22"/>
          <w:lang w:eastAsia="ko-KR"/>
        </w:rPr>
        <w:t xml:space="preserve">Observation </w:t>
      </w:r>
      <w:r w:rsidRPr="00372C5A">
        <w:rPr>
          <w:rFonts w:eastAsiaTheme="minorEastAsia"/>
          <w:b/>
          <w:bCs/>
          <w:i/>
          <w:sz w:val="22"/>
          <w:lang w:eastAsia="ko-KR"/>
        </w:rPr>
        <w:t>2</w:t>
      </w:r>
      <w:r w:rsidRPr="00372C5A">
        <w:rPr>
          <w:rFonts w:eastAsiaTheme="minorEastAsia" w:hint="eastAsia"/>
          <w:b/>
          <w:bCs/>
          <w:i/>
          <w:sz w:val="22"/>
          <w:lang w:eastAsia="ko-KR"/>
        </w:rPr>
        <w:t xml:space="preserve">: </w:t>
      </w:r>
      <w:r w:rsidRPr="00372C5A">
        <w:rPr>
          <w:rFonts w:eastAsiaTheme="minorEastAsia"/>
          <w:b/>
          <w:bCs/>
          <w:i/>
          <w:sz w:val="22"/>
          <w:lang w:eastAsia="ko-KR"/>
        </w:rPr>
        <w:t xml:space="preserve">Option </w:t>
      </w:r>
      <w:r w:rsidR="005D4293">
        <w:rPr>
          <w:rFonts w:eastAsiaTheme="minorEastAsia"/>
          <w:b/>
          <w:bCs/>
          <w:i/>
          <w:sz w:val="22"/>
          <w:lang w:eastAsia="ko-KR"/>
        </w:rPr>
        <w:t>B</w:t>
      </w:r>
      <w:r w:rsidRPr="00372C5A">
        <w:rPr>
          <w:rFonts w:eastAsiaTheme="minorEastAsia"/>
          <w:b/>
          <w:bCs/>
          <w:i/>
          <w:sz w:val="22"/>
          <w:lang w:eastAsia="ko-KR"/>
        </w:rPr>
        <w:t xml:space="preserve"> can be preferred in terms of resource efficiency.</w:t>
      </w:r>
    </w:p>
    <w:p w14:paraId="4ACA6164" w14:textId="5107121E" w:rsidR="00372C5A" w:rsidRPr="00372C5A" w:rsidRDefault="00372C5A" w:rsidP="008D5C57">
      <w:pPr>
        <w:ind w:left="0" w:hanging="1"/>
        <w:rPr>
          <w:rFonts w:eastAsiaTheme="minorEastAsia"/>
          <w:b/>
          <w:bCs/>
          <w:i/>
          <w:sz w:val="22"/>
          <w:lang w:eastAsia="ko-KR"/>
        </w:rPr>
      </w:pPr>
      <w:r w:rsidRPr="00372C5A">
        <w:rPr>
          <w:rFonts w:eastAsiaTheme="minorEastAsia" w:hint="eastAsia"/>
          <w:b/>
          <w:bCs/>
          <w:i/>
          <w:sz w:val="22"/>
          <w:lang w:eastAsia="ko-KR"/>
        </w:rPr>
        <w:t xml:space="preserve">Proposal </w:t>
      </w:r>
      <w:r w:rsidRPr="00372C5A">
        <w:rPr>
          <w:rFonts w:eastAsiaTheme="minorEastAsia"/>
          <w:b/>
          <w:bCs/>
          <w:i/>
          <w:sz w:val="22"/>
          <w:lang w:eastAsia="ko-KR"/>
        </w:rPr>
        <w:t>1</w:t>
      </w:r>
      <w:r w:rsidRPr="00372C5A">
        <w:rPr>
          <w:rFonts w:eastAsiaTheme="minorEastAsia" w:hint="eastAsia"/>
          <w:b/>
          <w:bCs/>
          <w:i/>
          <w:sz w:val="22"/>
          <w:lang w:eastAsia="ko-KR"/>
        </w:rPr>
        <w:t>:</w:t>
      </w:r>
      <w:r w:rsidRPr="00372C5A">
        <w:rPr>
          <w:rFonts w:eastAsiaTheme="minorEastAsia"/>
          <w:b/>
          <w:bCs/>
          <w:i/>
          <w:sz w:val="22"/>
          <w:lang w:eastAsia="ko-KR"/>
        </w:rPr>
        <w:t xml:space="preserve"> For CQI/MCS ent</w:t>
      </w:r>
      <w:bookmarkStart w:id="3" w:name="_GoBack"/>
      <w:bookmarkEnd w:id="3"/>
      <w:r w:rsidRPr="00372C5A">
        <w:rPr>
          <w:rFonts w:eastAsiaTheme="minorEastAsia"/>
          <w:b/>
          <w:bCs/>
          <w:i/>
          <w:sz w:val="22"/>
          <w:lang w:eastAsia="ko-KR"/>
        </w:rPr>
        <w:t>ry design, 32 bytes transport block size should be considered as a reference.</w:t>
      </w:r>
    </w:p>
    <w:p w14:paraId="45E57AA3" w14:textId="77777777" w:rsidR="00372C5A" w:rsidRPr="00E51A4D" w:rsidRDefault="00372C5A" w:rsidP="00372C5A">
      <w:pPr>
        <w:pStyle w:val="Proposal"/>
      </w:pPr>
      <w:r>
        <w:rPr>
          <w:rFonts w:hint="eastAsia"/>
        </w:rPr>
        <w:t xml:space="preserve">Proposal </w:t>
      </w:r>
      <w:r>
        <w:t>2</w:t>
      </w:r>
      <w:r>
        <w:rPr>
          <w:rFonts w:hint="eastAsia"/>
        </w:rPr>
        <w:t>:</w:t>
      </w:r>
      <w:r>
        <w:t xml:space="preserve"> </w:t>
      </w:r>
      <w:r w:rsidRPr="00E51A4D">
        <w:t>Highest spectral efficiency in any/all MCS table is not greater than a value</w:t>
      </w:r>
      <w:r>
        <w:t xml:space="preserve"> of 666/1024.</w:t>
      </w:r>
    </w:p>
    <w:p w14:paraId="148ED09B" w14:textId="77777777" w:rsidR="00372C5A" w:rsidRPr="00372C5A" w:rsidRDefault="00372C5A" w:rsidP="008D5C57">
      <w:pPr>
        <w:ind w:left="0" w:hanging="1"/>
        <w:rPr>
          <w:rFonts w:eastAsia="맑은 고딕"/>
          <w:sz w:val="22"/>
          <w:lang w:eastAsia="ko-KR"/>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16A39D6B" w14:textId="77777777" w:rsidR="000473EA" w:rsidRPr="009F7F9F" w:rsidRDefault="000473EA" w:rsidP="000473EA">
      <w:pPr>
        <w:pStyle w:val="References"/>
        <w:tabs>
          <w:tab w:val="clear" w:pos="6031"/>
        </w:tabs>
        <w:ind w:left="567" w:hanging="425"/>
        <w:rPr>
          <w:rFonts w:eastAsia="맑은 고딕"/>
          <w:szCs w:val="22"/>
          <w:lang w:eastAsia="ko-KR"/>
        </w:rPr>
      </w:pPr>
      <w:r w:rsidRPr="003E43CC">
        <w:rPr>
          <w:szCs w:val="22"/>
          <w:lang w:eastAsia="ko-KR"/>
        </w:rPr>
        <w:t>RAN1 chairman’s notes, RAN1</w:t>
      </w:r>
      <w:r>
        <w:rPr>
          <w:rFonts w:eastAsiaTheme="minorEastAsia"/>
          <w:szCs w:val="22"/>
          <w:lang w:eastAsia="ko-KR"/>
        </w:rPr>
        <w:t>#92</w:t>
      </w:r>
    </w:p>
    <w:p w14:paraId="2512D934" w14:textId="41F28805" w:rsidR="00D30FFA" w:rsidRPr="007C6C7C" w:rsidRDefault="00D30FFA" w:rsidP="00372C5A">
      <w:pPr>
        <w:pStyle w:val="References"/>
        <w:numPr>
          <w:ilvl w:val="0"/>
          <w:numId w:val="0"/>
        </w:numPr>
        <w:ind w:left="6031" w:hanging="360"/>
        <w:rPr>
          <w:rFonts w:eastAsia="맑은 고딕"/>
          <w:szCs w:val="22"/>
          <w:lang w:val="en-GB" w:eastAsia="ko-KR"/>
        </w:rPr>
      </w:pPr>
    </w:p>
    <w:p w14:paraId="70EE82F5" w14:textId="683DA41C" w:rsidR="00380F89" w:rsidRPr="00432E3F" w:rsidRDefault="00380F89" w:rsidP="00E111EF">
      <w:pPr>
        <w:pStyle w:val="References"/>
        <w:numPr>
          <w:ilvl w:val="0"/>
          <w:numId w:val="0"/>
        </w:numPr>
        <w:ind w:left="6031" w:hanging="360"/>
        <w:rPr>
          <w:rFonts w:eastAsia="맑은 고딕"/>
          <w:szCs w:val="22"/>
          <w:lang w:val="en-GB" w:eastAsia="ko-KR"/>
        </w:rPr>
      </w:pPr>
    </w:p>
    <w:sectPr w:rsidR="00380F89" w:rsidRPr="00432E3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75CCB" w14:textId="77777777" w:rsidR="001B55F4" w:rsidRDefault="001B55F4" w:rsidP="00CB15B0">
      <w:pPr>
        <w:spacing w:before="0" w:after="0" w:line="240" w:lineRule="auto"/>
      </w:pPr>
      <w:r>
        <w:separator/>
      </w:r>
    </w:p>
  </w:endnote>
  <w:endnote w:type="continuationSeparator" w:id="0">
    <w:p w14:paraId="2469DA67" w14:textId="77777777" w:rsidR="001B55F4" w:rsidRDefault="001B55F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0B24B" w14:textId="77777777" w:rsidR="001B55F4" w:rsidRDefault="001B55F4" w:rsidP="00CB15B0">
      <w:pPr>
        <w:spacing w:before="0" w:after="0" w:line="240" w:lineRule="auto"/>
      </w:pPr>
      <w:r>
        <w:separator/>
      </w:r>
    </w:p>
  </w:footnote>
  <w:footnote w:type="continuationSeparator" w:id="0">
    <w:p w14:paraId="7A3A9C07" w14:textId="77777777" w:rsidR="001B55F4" w:rsidRDefault="001B55F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6457CD4"/>
    <w:multiLevelType w:val="hybridMultilevel"/>
    <w:tmpl w:val="85824006"/>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5">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1">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2">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3">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nsid w:val="3F4330FC"/>
    <w:multiLevelType w:val="hybridMultilevel"/>
    <w:tmpl w:val="04662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F338AB"/>
    <w:multiLevelType w:val="hybridMultilevel"/>
    <w:tmpl w:val="C136D7D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4">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5">
    <w:nsid w:val="4DE05E0F"/>
    <w:multiLevelType w:val="hybridMultilevel"/>
    <w:tmpl w:val="C4B4E4C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D178C9"/>
    <w:multiLevelType w:val="hybridMultilevel"/>
    <w:tmpl w:val="2BCA6810"/>
    <w:lvl w:ilvl="0" w:tplc="E3BE70A0">
      <w:start w:val="1"/>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6E26A23"/>
    <w:multiLevelType w:val="hybridMultilevel"/>
    <w:tmpl w:val="1668F320"/>
    <w:lvl w:ilvl="0" w:tplc="C164921A">
      <w:start w:val="1"/>
      <w:numFmt w:val="bullet"/>
      <w:lvlText w:val=""/>
      <w:lvlJc w:val="left"/>
      <w:pPr>
        <w:tabs>
          <w:tab w:val="num" w:pos="360"/>
        </w:tabs>
        <w:ind w:left="360" w:hanging="360"/>
      </w:pPr>
      <w:rPr>
        <w:rFonts w:ascii="Wingdings" w:hAnsi="Wingdings" w:hint="default"/>
      </w:rPr>
    </w:lvl>
    <w:lvl w:ilvl="1" w:tplc="84BEE296">
      <w:numFmt w:val="bullet"/>
      <w:lvlText w:val="•"/>
      <w:lvlJc w:val="left"/>
      <w:pPr>
        <w:tabs>
          <w:tab w:val="num" w:pos="1080"/>
        </w:tabs>
        <w:ind w:left="1080" w:hanging="360"/>
      </w:pPr>
      <w:rPr>
        <w:rFonts w:ascii="Arial" w:hAnsi="Arial"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30">
    <w:nsid w:val="60E20A57"/>
    <w:multiLevelType w:val="hybridMultilevel"/>
    <w:tmpl w:val="43628C94"/>
    <w:lvl w:ilvl="0" w:tplc="E3BE70A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6AC2616"/>
    <w:multiLevelType w:val="hybridMultilevel"/>
    <w:tmpl w:val="09C6519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5">
    <w:nsid w:val="78022622"/>
    <w:multiLevelType w:val="hybridMultilevel"/>
    <w:tmpl w:val="455C3C1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82C0FD9"/>
    <w:multiLevelType w:val="hybridMultilevel"/>
    <w:tmpl w:val="4BF66EE2"/>
    <w:lvl w:ilvl="0" w:tplc="04090017">
      <w:start w:val="1"/>
      <w:numFmt w:val="lowerLetter"/>
      <w:lvlText w:val="%1)"/>
      <w:lvlJc w:val="left"/>
      <w:pPr>
        <w:ind w:left="1040" w:hanging="420"/>
      </w:pPr>
      <w:rPr>
        <w:rFonts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7">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8">
    <w:nsid w:val="798E1A8D"/>
    <w:multiLevelType w:val="hybridMultilevel"/>
    <w:tmpl w:val="2166A7E4"/>
    <w:lvl w:ilvl="0" w:tplc="4202C932">
      <w:start w:val="1"/>
      <w:numFmt w:val="bullet"/>
      <w:lvlText w:val=""/>
      <w:lvlJc w:val="left"/>
      <w:pPr>
        <w:ind w:left="760" w:hanging="36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B0E0DA7"/>
    <w:multiLevelType w:val="hybridMultilevel"/>
    <w:tmpl w:val="CC58EAC4"/>
    <w:lvl w:ilvl="0" w:tplc="60AE8B56">
      <w:start w:val="1"/>
      <w:numFmt w:val="bullet"/>
      <w:lvlText w:val="•"/>
      <w:lvlJc w:val="left"/>
      <w:pPr>
        <w:ind w:left="620" w:hanging="420"/>
      </w:pPr>
      <w:rPr>
        <w:rFonts w:ascii="Arial" w:hAnsi="Aria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2"/>
  </w:num>
  <w:num w:numId="2">
    <w:abstractNumId w:val="32"/>
  </w:num>
  <w:num w:numId="3">
    <w:abstractNumId w:val="0"/>
  </w:num>
  <w:num w:numId="4">
    <w:abstractNumId w:val="16"/>
  </w:num>
  <w:num w:numId="5">
    <w:abstractNumId w:val="7"/>
  </w:num>
  <w:num w:numId="6">
    <w:abstractNumId w:val="6"/>
  </w:num>
  <w:num w:numId="7">
    <w:abstractNumId w:val="33"/>
  </w:num>
  <w:num w:numId="8">
    <w:abstractNumId w:val="23"/>
  </w:num>
  <w:num w:numId="9">
    <w:abstractNumId w:val="13"/>
  </w:num>
  <w:num w:numId="10">
    <w:abstractNumId w:val="20"/>
  </w:num>
  <w:num w:numId="11">
    <w:abstractNumId w:val="40"/>
  </w:num>
  <w:num w:numId="12">
    <w:abstractNumId w:val="21"/>
  </w:num>
  <w:num w:numId="13">
    <w:abstractNumId w:val="11"/>
  </w:num>
  <w:num w:numId="14">
    <w:abstractNumId w:val="12"/>
  </w:num>
  <w:num w:numId="15">
    <w:abstractNumId w:val="34"/>
  </w:num>
  <w:num w:numId="16">
    <w:abstractNumId w:val="8"/>
  </w:num>
  <w:num w:numId="17">
    <w:abstractNumId w:val="5"/>
  </w:num>
  <w:num w:numId="18">
    <w:abstractNumId w:val="10"/>
  </w:num>
  <w:num w:numId="19">
    <w:abstractNumId w:val="17"/>
  </w:num>
  <w:num w:numId="20">
    <w:abstractNumId w:val="37"/>
  </w:num>
  <w:num w:numId="21">
    <w:abstractNumId w:val="24"/>
  </w:num>
  <w:num w:numId="22">
    <w:abstractNumId w:val="1"/>
  </w:num>
  <w:num w:numId="23">
    <w:abstractNumId w:val="27"/>
  </w:num>
  <w:num w:numId="24">
    <w:abstractNumId w:val="14"/>
  </w:num>
  <w:num w:numId="25">
    <w:abstractNumId w:val="15"/>
  </w:num>
  <w:num w:numId="26">
    <w:abstractNumId w:val="19"/>
  </w:num>
  <w:num w:numId="27">
    <w:abstractNumId w:val="3"/>
  </w:num>
  <w:num w:numId="28">
    <w:abstractNumId w:val="9"/>
  </w:num>
  <w:num w:numId="29">
    <w:abstractNumId w:val="28"/>
  </w:num>
  <w:num w:numId="30">
    <w:abstractNumId w:val="22"/>
  </w:num>
  <w:num w:numId="31">
    <w:abstractNumId w:val="29"/>
  </w:num>
  <w:num w:numId="32">
    <w:abstractNumId w:val="30"/>
  </w:num>
  <w:num w:numId="33">
    <w:abstractNumId w:val="26"/>
  </w:num>
  <w:num w:numId="34">
    <w:abstractNumId w:val="38"/>
  </w:num>
  <w:num w:numId="35">
    <w:abstractNumId w:val="4"/>
  </w:num>
  <w:num w:numId="36">
    <w:abstractNumId w:val="31"/>
  </w:num>
  <w:num w:numId="37">
    <w:abstractNumId w:val="2"/>
  </w:num>
  <w:num w:numId="38">
    <w:abstractNumId w:val="18"/>
  </w:num>
  <w:num w:numId="39">
    <w:abstractNumId w:val="25"/>
  </w:num>
  <w:num w:numId="40">
    <w:abstractNumId w:val="39"/>
  </w:num>
  <w:num w:numId="41">
    <w:abstractNumId w:val="36"/>
  </w:num>
  <w:num w:numId="42">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821"/>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2AD"/>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B82"/>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3EA"/>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BB1"/>
    <w:rsid w:val="00080C36"/>
    <w:rsid w:val="00082161"/>
    <w:rsid w:val="00082CE0"/>
    <w:rsid w:val="00083EB4"/>
    <w:rsid w:val="00083F32"/>
    <w:rsid w:val="00083F3B"/>
    <w:rsid w:val="00084B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98"/>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5A3"/>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C7"/>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C7E67"/>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4FC"/>
    <w:rsid w:val="000E2735"/>
    <w:rsid w:val="000E31E7"/>
    <w:rsid w:val="000E32B1"/>
    <w:rsid w:val="000E3542"/>
    <w:rsid w:val="000E3664"/>
    <w:rsid w:val="000E3694"/>
    <w:rsid w:val="000E3842"/>
    <w:rsid w:val="000E3859"/>
    <w:rsid w:val="000E3A5D"/>
    <w:rsid w:val="000E413B"/>
    <w:rsid w:val="000E4844"/>
    <w:rsid w:val="000E512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70C"/>
    <w:rsid w:val="00153A53"/>
    <w:rsid w:val="0015402F"/>
    <w:rsid w:val="00154222"/>
    <w:rsid w:val="0015457C"/>
    <w:rsid w:val="0015500C"/>
    <w:rsid w:val="001555F2"/>
    <w:rsid w:val="00155880"/>
    <w:rsid w:val="0015588F"/>
    <w:rsid w:val="00155C05"/>
    <w:rsid w:val="00155F97"/>
    <w:rsid w:val="0015655C"/>
    <w:rsid w:val="00157085"/>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AF5"/>
    <w:rsid w:val="001913B0"/>
    <w:rsid w:val="0019140C"/>
    <w:rsid w:val="00191B8F"/>
    <w:rsid w:val="00192BBC"/>
    <w:rsid w:val="00192C5D"/>
    <w:rsid w:val="001934A6"/>
    <w:rsid w:val="001938B2"/>
    <w:rsid w:val="00193AFE"/>
    <w:rsid w:val="00193E15"/>
    <w:rsid w:val="00194092"/>
    <w:rsid w:val="00195147"/>
    <w:rsid w:val="001953E5"/>
    <w:rsid w:val="00195514"/>
    <w:rsid w:val="00196738"/>
    <w:rsid w:val="001968BD"/>
    <w:rsid w:val="00197E2A"/>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455F"/>
    <w:rsid w:val="001B45EE"/>
    <w:rsid w:val="001B4DBB"/>
    <w:rsid w:val="001B5403"/>
    <w:rsid w:val="001B55F4"/>
    <w:rsid w:val="001B56C3"/>
    <w:rsid w:val="001B584D"/>
    <w:rsid w:val="001B5863"/>
    <w:rsid w:val="001B66E0"/>
    <w:rsid w:val="001B68A0"/>
    <w:rsid w:val="001B69C8"/>
    <w:rsid w:val="001B6C63"/>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77A"/>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1DF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3F5"/>
    <w:rsid w:val="001F29D4"/>
    <w:rsid w:val="001F2A5F"/>
    <w:rsid w:val="001F2ACA"/>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511E"/>
    <w:rsid w:val="00215471"/>
    <w:rsid w:val="00215BD0"/>
    <w:rsid w:val="00215DE5"/>
    <w:rsid w:val="0021600A"/>
    <w:rsid w:val="00216F54"/>
    <w:rsid w:val="00217441"/>
    <w:rsid w:val="002177EA"/>
    <w:rsid w:val="00217BCD"/>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5B26"/>
    <w:rsid w:val="00256280"/>
    <w:rsid w:val="002562C4"/>
    <w:rsid w:val="00256E32"/>
    <w:rsid w:val="00257486"/>
    <w:rsid w:val="00257AE5"/>
    <w:rsid w:val="00257FF1"/>
    <w:rsid w:val="00260561"/>
    <w:rsid w:val="00260599"/>
    <w:rsid w:val="00260732"/>
    <w:rsid w:val="00260DDE"/>
    <w:rsid w:val="0026111D"/>
    <w:rsid w:val="00263859"/>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956"/>
    <w:rsid w:val="00280C6C"/>
    <w:rsid w:val="002813E0"/>
    <w:rsid w:val="0028212A"/>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4382"/>
    <w:rsid w:val="00294797"/>
    <w:rsid w:val="00296CDE"/>
    <w:rsid w:val="00296D39"/>
    <w:rsid w:val="00297557"/>
    <w:rsid w:val="002A104F"/>
    <w:rsid w:val="002A1D1B"/>
    <w:rsid w:val="002A20BE"/>
    <w:rsid w:val="002A3564"/>
    <w:rsid w:val="002A361E"/>
    <w:rsid w:val="002A3F1F"/>
    <w:rsid w:val="002A4EDC"/>
    <w:rsid w:val="002A5AB4"/>
    <w:rsid w:val="002A66B6"/>
    <w:rsid w:val="002A684E"/>
    <w:rsid w:val="002A6C45"/>
    <w:rsid w:val="002A77DE"/>
    <w:rsid w:val="002A7917"/>
    <w:rsid w:val="002A7A62"/>
    <w:rsid w:val="002B0918"/>
    <w:rsid w:val="002B095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B03"/>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67"/>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599D"/>
    <w:rsid w:val="002E6369"/>
    <w:rsid w:val="002E6479"/>
    <w:rsid w:val="002E6598"/>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06A"/>
    <w:rsid w:val="00372217"/>
    <w:rsid w:val="00372C5A"/>
    <w:rsid w:val="003739AB"/>
    <w:rsid w:val="00373D9D"/>
    <w:rsid w:val="00373E9D"/>
    <w:rsid w:val="00374785"/>
    <w:rsid w:val="00374BEC"/>
    <w:rsid w:val="003751B0"/>
    <w:rsid w:val="00375270"/>
    <w:rsid w:val="003755A6"/>
    <w:rsid w:val="00375687"/>
    <w:rsid w:val="00375920"/>
    <w:rsid w:val="00375BA4"/>
    <w:rsid w:val="0037626A"/>
    <w:rsid w:val="0037644E"/>
    <w:rsid w:val="00376B84"/>
    <w:rsid w:val="00376C88"/>
    <w:rsid w:val="00376F4F"/>
    <w:rsid w:val="00376FFA"/>
    <w:rsid w:val="0037740E"/>
    <w:rsid w:val="003775BD"/>
    <w:rsid w:val="00377FC8"/>
    <w:rsid w:val="00380BD9"/>
    <w:rsid w:val="00380F89"/>
    <w:rsid w:val="003812DF"/>
    <w:rsid w:val="0038163B"/>
    <w:rsid w:val="00381868"/>
    <w:rsid w:val="00381B8A"/>
    <w:rsid w:val="00381C8B"/>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842"/>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4A5A"/>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6C"/>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4E3"/>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55"/>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3B7"/>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7DC"/>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11DD"/>
    <w:rsid w:val="004412FF"/>
    <w:rsid w:val="00441660"/>
    <w:rsid w:val="00441AEF"/>
    <w:rsid w:val="00443B25"/>
    <w:rsid w:val="00443BEF"/>
    <w:rsid w:val="00443CAA"/>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5726E"/>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28AD"/>
    <w:rsid w:val="00472DF0"/>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20A0"/>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41F"/>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0A66"/>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0D6C"/>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320"/>
    <w:rsid w:val="0053378F"/>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1582"/>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20ED"/>
    <w:rsid w:val="005721A7"/>
    <w:rsid w:val="00573440"/>
    <w:rsid w:val="00573B1A"/>
    <w:rsid w:val="00574E5A"/>
    <w:rsid w:val="00575092"/>
    <w:rsid w:val="00575C40"/>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5FF"/>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A5C"/>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293"/>
    <w:rsid w:val="005D4443"/>
    <w:rsid w:val="005D4EAC"/>
    <w:rsid w:val="005D5564"/>
    <w:rsid w:val="005D599C"/>
    <w:rsid w:val="005D5B8C"/>
    <w:rsid w:val="005D73AA"/>
    <w:rsid w:val="005D7797"/>
    <w:rsid w:val="005E0681"/>
    <w:rsid w:val="005E0AB7"/>
    <w:rsid w:val="005E1639"/>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6899"/>
    <w:rsid w:val="005E7246"/>
    <w:rsid w:val="005E7431"/>
    <w:rsid w:val="005E792F"/>
    <w:rsid w:val="005E7996"/>
    <w:rsid w:val="005F0740"/>
    <w:rsid w:val="005F0818"/>
    <w:rsid w:val="005F0BEC"/>
    <w:rsid w:val="005F0C1E"/>
    <w:rsid w:val="005F1850"/>
    <w:rsid w:val="005F2484"/>
    <w:rsid w:val="005F29AA"/>
    <w:rsid w:val="005F2AB7"/>
    <w:rsid w:val="005F2ADF"/>
    <w:rsid w:val="005F2D64"/>
    <w:rsid w:val="005F2D88"/>
    <w:rsid w:val="005F361C"/>
    <w:rsid w:val="005F36DE"/>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3C0"/>
    <w:rsid w:val="00625B6C"/>
    <w:rsid w:val="00625C6F"/>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28D7"/>
    <w:rsid w:val="006434AD"/>
    <w:rsid w:val="006440CE"/>
    <w:rsid w:val="00644394"/>
    <w:rsid w:val="00644458"/>
    <w:rsid w:val="00644771"/>
    <w:rsid w:val="00644B5F"/>
    <w:rsid w:val="00644E98"/>
    <w:rsid w:val="00645082"/>
    <w:rsid w:val="00645163"/>
    <w:rsid w:val="00645AC0"/>
    <w:rsid w:val="00645CB8"/>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B4E"/>
    <w:rsid w:val="006653C0"/>
    <w:rsid w:val="0066544C"/>
    <w:rsid w:val="0066568E"/>
    <w:rsid w:val="006656A0"/>
    <w:rsid w:val="0066583D"/>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5D2"/>
    <w:rsid w:val="006A6B35"/>
    <w:rsid w:val="006A7472"/>
    <w:rsid w:val="006A747C"/>
    <w:rsid w:val="006A7BD3"/>
    <w:rsid w:val="006B09C2"/>
    <w:rsid w:val="006B1647"/>
    <w:rsid w:val="006B1AF0"/>
    <w:rsid w:val="006B1DFB"/>
    <w:rsid w:val="006B26B6"/>
    <w:rsid w:val="006B2833"/>
    <w:rsid w:val="006B2AC5"/>
    <w:rsid w:val="006B2C7D"/>
    <w:rsid w:val="006B351A"/>
    <w:rsid w:val="006B3C1E"/>
    <w:rsid w:val="006B3E7A"/>
    <w:rsid w:val="006B4641"/>
    <w:rsid w:val="006B5294"/>
    <w:rsid w:val="006B538F"/>
    <w:rsid w:val="006B63C1"/>
    <w:rsid w:val="006B65E5"/>
    <w:rsid w:val="006B68BA"/>
    <w:rsid w:val="006B6A94"/>
    <w:rsid w:val="006B7403"/>
    <w:rsid w:val="006B7527"/>
    <w:rsid w:val="006B793B"/>
    <w:rsid w:val="006B7BBF"/>
    <w:rsid w:val="006C0163"/>
    <w:rsid w:val="006C03A1"/>
    <w:rsid w:val="006C050A"/>
    <w:rsid w:val="006C0D99"/>
    <w:rsid w:val="006C0F4B"/>
    <w:rsid w:val="006C1393"/>
    <w:rsid w:val="006C16AF"/>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895"/>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4A8"/>
    <w:rsid w:val="006E563E"/>
    <w:rsid w:val="006E5DED"/>
    <w:rsid w:val="006E6004"/>
    <w:rsid w:val="006E601E"/>
    <w:rsid w:val="006E615F"/>
    <w:rsid w:val="006E6F8E"/>
    <w:rsid w:val="006E7452"/>
    <w:rsid w:val="006E7A25"/>
    <w:rsid w:val="006E7D87"/>
    <w:rsid w:val="006F0153"/>
    <w:rsid w:val="006F0243"/>
    <w:rsid w:val="006F1E61"/>
    <w:rsid w:val="006F218F"/>
    <w:rsid w:val="006F3158"/>
    <w:rsid w:val="006F4D0C"/>
    <w:rsid w:val="006F579B"/>
    <w:rsid w:val="006F5B09"/>
    <w:rsid w:val="006F5BDF"/>
    <w:rsid w:val="006F5F96"/>
    <w:rsid w:val="006F6054"/>
    <w:rsid w:val="006F61C4"/>
    <w:rsid w:val="006F65AC"/>
    <w:rsid w:val="006F72BF"/>
    <w:rsid w:val="006F7538"/>
    <w:rsid w:val="006F78D1"/>
    <w:rsid w:val="006F7C38"/>
    <w:rsid w:val="00700062"/>
    <w:rsid w:val="0070011B"/>
    <w:rsid w:val="00700786"/>
    <w:rsid w:val="00701249"/>
    <w:rsid w:val="00701911"/>
    <w:rsid w:val="00701A3A"/>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6FA"/>
    <w:rsid w:val="00711977"/>
    <w:rsid w:val="0071227D"/>
    <w:rsid w:val="0071232C"/>
    <w:rsid w:val="00712706"/>
    <w:rsid w:val="00712E43"/>
    <w:rsid w:val="007139A0"/>
    <w:rsid w:val="00713E47"/>
    <w:rsid w:val="0071495C"/>
    <w:rsid w:val="00715269"/>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0B40"/>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BB5"/>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3B46"/>
    <w:rsid w:val="007A4171"/>
    <w:rsid w:val="007A4761"/>
    <w:rsid w:val="007A4A2D"/>
    <w:rsid w:val="007A5694"/>
    <w:rsid w:val="007A5747"/>
    <w:rsid w:val="007A5966"/>
    <w:rsid w:val="007A5987"/>
    <w:rsid w:val="007A5C1F"/>
    <w:rsid w:val="007A6558"/>
    <w:rsid w:val="007A69E7"/>
    <w:rsid w:val="007A6ABF"/>
    <w:rsid w:val="007A6E13"/>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13"/>
    <w:rsid w:val="007B5AD1"/>
    <w:rsid w:val="007B5B9D"/>
    <w:rsid w:val="007B6AA3"/>
    <w:rsid w:val="007B6F77"/>
    <w:rsid w:val="007B751D"/>
    <w:rsid w:val="007B77C7"/>
    <w:rsid w:val="007B7AD4"/>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A4C"/>
    <w:rsid w:val="007D4A4B"/>
    <w:rsid w:val="007D4BC7"/>
    <w:rsid w:val="007D50FE"/>
    <w:rsid w:val="007D5D1D"/>
    <w:rsid w:val="007D69FB"/>
    <w:rsid w:val="007D71C2"/>
    <w:rsid w:val="007D7AFC"/>
    <w:rsid w:val="007E0081"/>
    <w:rsid w:val="007E011A"/>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594E"/>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823"/>
    <w:rsid w:val="00811A2D"/>
    <w:rsid w:val="00811E9B"/>
    <w:rsid w:val="00811EB2"/>
    <w:rsid w:val="0081288C"/>
    <w:rsid w:val="008128B5"/>
    <w:rsid w:val="00812A12"/>
    <w:rsid w:val="00813AD1"/>
    <w:rsid w:val="00813D35"/>
    <w:rsid w:val="00813FB0"/>
    <w:rsid w:val="0081511C"/>
    <w:rsid w:val="00815D9B"/>
    <w:rsid w:val="00816A58"/>
    <w:rsid w:val="00816FD9"/>
    <w:rsid w:val="00817414"/>
    <w:rsid w:val="00817B0F"/>
    <w:rsid w:val="00820019"/>
    <w:rsid w:val="008200FC"/>
    <w:rsid w:val="00820454"/>
    <w:rsid w:val="00820BCE"/>
    <w:rsid w:val="00821122"/>
    <w:rsid w:val="00821140"/>
    <w:rsid w:val="008213FC"/>
    <w:rsid w:val="00822CF4"/>
    <w:rsid w:val="00824DD3"/>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39BD"/>
    <w:rsid w:val="00853D16"/>
    <w:rsid w:val="00853D36"/>
    <w:rsid w:val="00854D1F"/>
    <w:rsid w:val="00854F65"/>
    <w:rsid w:val="008559E2"/>
    <w:rsid w:val="008561B2"/>
    <w:rsid w:val="00856781"/>
    <w:rsid w:val="0085698E"/>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600"/>
    <w:rsid w:val="0086779C"/>
    <w:rsid w:val="00867A18"/>
    <w:rsid w:val="00867A51"/>
    <w:rsid w:val="0087091E"/>
    <w:rsid w:val="00871E04"/>
    <w:rsid w:val="00871E61"/>
    <w:rsid w:val="00873108"/>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1ACE"/>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C7E65"/>
    <w:rsid w:val="008D06AD"/>
    <w:rsid w:val="008D0A52"/>
    <w:rsid w:val="008D1968"/>
    <w:rsid w:val="008D1AB4"/>
    <w:rsid w:val="008D1B7E"/>
    <w:rsid w:val="008D1EE6"/>
    <w:rsid w:val="008D225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486D"/>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1CE"/>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251"/>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5E17"/>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053"/>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3F98"/>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BEB"/>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9F7CA1"/>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5ED0"/>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6D3"/>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6CE"/>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69A"/>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6F37"/>
    <w:rsid w:val="00A87193"/>
    <w:rsid w:val="00A87610"/>
    <w:rsid w:val="00A8782D"/>
    <w:rsid w:val="00A87B86"/>
    <w:rsid w:val="00A9028C"/>
    <w:rsid w:val="00A906EE"/>
    <w:rsid w:val="00A9122C"/>
    <w:rsid w:val="00A91395"/>
    <w:rsid w:val="00A91A59"/>
    <w:rsid w:val="00A91FB9"/>
    <w:rsid w:val="00A9280E"/>
    <w:rsid w:val="00A92D25"/>
    <w:rsid w:val="00A94373"/>
    <w:rsid w:val="00A95C94"/>
    <w:rsid w:val="00A95F1E"/>
    <w:rsid w:val="00A961C3"/>
    <w:rsid w:val="00A96224"/>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327"/>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CD1"/>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A7A"/>
    <w:rsid w:val="00B01D9B"/>
    <w:rsid w:val="00B01FE5"/>
    <w:rsid w:val="00B02287"/>
    <w:rsid w:val="00B0240C"/>
    <w:rsid w:val="00B02A8B"/>
    <w:rsid w:val="00B02AD5"/>
    <w:rsid w:val="00B034FA"/>
    <w:rsid w:val="00B03B1D"/>
    <w:rsid w:val="00B04174"/>
    <w:rsid w:val="00B04559"/>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DDC"/>
    <w:rsid w:val="00B25FB4"/>
    <w:rsid w:val="00B25FE4"/>
    <w:rsid w:val="00B260E8"/>
    <w:rsid w:val="00B26591"/>
    <w:rsid w:val="00B26BD8"/>
    <w:rsid w:val="00B26C39"/>
    <w:rsid w:val="00B26D67"/>
    <w:rsid w:val="00B27140"/>
    <w:rsid w:val="00B2740C"/>
    <w:rsid w:val="00B30AC3"/>
    <w:rsid w:val="00B31110"/>
    <w:rsid w:val="00B31243"/>
    <w:rsid w:val="00B31392"/>
    <w:rsid w:val="00B31436"/>
    <w:rsid w:val="00B3151B"/>
    <w:rsid w:val="00B320F2"/>
    <w:rsid w:val="00B321C2"/>
    <w:rsid w:val="00B32A9B"/>
    <w:rsid w:val="00B32B16"/>
    <w:rsid w:val="00B32B98"/>
    <w:rsid w:val="00B32E1E"/>
    <w:rsid w:val="00B332E5"/>
    <w:rsid w:val="00B33E80"/>
    <w:rsid w:val="00B33ED2"/>
    <w:rsid w:val="00B346CF"/>
    <w:rsid w:val="00B34F9D"/>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6F03"/>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6BFE"/>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3AE"/>
    <w:rsid w:val="00B84E0C"/>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CDC"/>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A0B"/>
    <w:rsid w:val="00C03A45"/>
    <w:rsid w:val="00C03BB8"/>
    <w:rsid w:val="00C042B1"/>
    <w:rsid w:val="00C044A1"/>
    <w:rsid w:val="00C04EA9"/>
    <w:rsid w:val="00C04ED8"/>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554"/>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18F"/>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4E"/>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3C"/>
    <w:rsid w:val="00CB1D9C"/>
    <w:rsid w:val="00CB21DB"/>
    <w:rsid w:val="00CB2545"/>
    <w:rsid w:val="00CB2629"/>
    <w:rsid w:val="00CB29C2"/>
    <w:rsid w:val="00CB3D99"/>
    <w:rsid w:val="00CB425B"/>
    <w:rsid w:val="00CB4802"/>
    <w:rsid w:val="00CB4DA3"/>
    <w:rsid w:val="00CB4F3D"/>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5D9"/>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996"/>
    <w:rsid w:val="00CD7A75"/>
    <w:rsid w:val="00CE09CF"/>
    <w:rsid w:val="00CE0B11"/>
    <w:rsid w:val="00CE0BBA"/>
    <w:rsid w:val="00CE155F"/>
    <w:rsid w:val="00CE1BD1"/>
    <w:rsid w:val="00CE1E25"/>
    <w:rsid w:val="00CE1FEC"/>
    <w:rsid w:val="00CE212E"/>
    <w:rsid w:val="00CE2715"/>
    <w:rsid w:val="00CE280A"/>
    <w:rsid w:val="00CE34A6"/>
    <w:rsid w:val="00CE3DD7"/>
    <w:rsid w:val="00CE42FA"/>
    <w:rsid w:val="00CE462E"/>
    <w:rsid w:val="00CE4B6D"/>
    <w:rsid w:val="00CE4B94"/>
    <w:rsid w:val="00CE4F7B"/>
    <w:rsid w:val="00CE52C2"/>
    <w:rsid w:val="00CE54B4"/>
    <w:rsid w:val="00CE6BB1"/>
    <w:rsid w:val="00CE6D12"/>
    <w:rsid w:val="00CE7489"/>
    <w:rsid w:val="00CE78D6"/>
    <w:rsid w:val="00CF0CAF"/>
    <w:rsid w:val="00CF0DF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EA1"/>
    <w:rsid w:val="00D15FDC"/>
    <w:rsid w:val="00D1619C"/>
    <w:rsid w:val="00D17B73"/>
    <w:rsid w:val="00D17F6C"/>
    <w:rsid w:val="00D202CE"/>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0FFA"/>
    <w:rsid w:val="00D310FE"/>
    <w:rsid w:val="00D31D9D"/>
    <w:rsid w:val="00D31F2C"/>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0AF"/>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1F5"/>
    <w:rsid w:val="00D5257F"/>
    <w:rsid w:val="00D528CC"/>
    <w:rsid w:val="00D538AF"/>
    <w:rsid w:val="00D53D0A"/>
    <w:rsid w:val="00D554CC"/>
    <w:rsid w:val="00D554D8"/>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6B6"/>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0AB"/>
    <w:rsid w:val="00D84A63"/>
    <w:rsid w:val="00D84F4E"/>
    <w:rsid w:val="00D851C4"/>
    <w:rsid w:val="00D85466"/>
    <w:rsid w:val="00D85676"/>
    <w:rsid w:val="00D86B11"/>
    <w:rsid w:val="00D86F10"/>
    <w:rsid w:val="00D872A8"/>
    <w:rsid w:val="00D8734A"/>
    <w:rsid w:val="00D90626"/>
    <w:rsid w:val="00D90A5C"/>
    <w:rsid w:val="00D90B3D"/>
    <w:rsid w:val="00D90E01"/>
    <w:rsid w:val="00D91118"/>
    <w:rsid w:val="00D914DD"/>
    <w:rsid w:val="00D91C37"/>
    <w:rsid w:val="00D92154"/>
    <w:rsid w:val="00D92164"/>
    <w:rsid w:val="00D92545"/>
    <w:rsid w:val="00D92AD4"/>
    <w:rsid w:val="00D92C1F"/>
    <w:rsid w:val="00D92EBC"/>
    <w:rsid w:val="00D9320F"/>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1D4"/>
    <w:rsid w:val="00DC1992"/>
    <w:rsid w:val="00DC1BFD"/>
    <w:rsid w:val="00DC25AB"/>
    <w:rsid w:val="00DC2B9D"/>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D14"/>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30"/>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5F69"/>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2D06"/>
    <w:rsid w:val="00E43B48"/>
    <w:rsid w:val="00E44927"/>
    <w:rsid w:val="00E44A46"/>
    <w:rsid w:val="00E461BB"/>
    <w:rsid w:val="00E4644A"/>
    <w:rsid w:val="00E47DDF"/>
    <w:rsid w:val="00E47FC2"/>
    <w:rsid w:val="00E50112"/>
    <w:rsid w:val="00E50F3A"/>
    <w:rsid w:val="00E51494"/>
    <w:rsid w:val="00E51A4D"/>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C1A"/>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A3"/>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87D49"/>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12B"/>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20C"/>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2D5E"/>
    <w:rsid w:val="00EE36F2"/>
    <w:rsid w:val="00EE3B41"/>
    <w:rsid w:val="00EE3FB5"/>
    <w:rsid w:val="00EE4017"/>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5E67"/>
    <w:rsid w:val="00EF62A9"/>
    <w:rsid w:val="00EF661A"/>
    <w:rsid w:val="00EF67B6"/>
    <w:rsid w:val="00EF6C70"/>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1CA7"/>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CE0"/>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7C6"/>
    <w:rsid w:val="00F9389D"/>
    <w:rsid w:val="00F93D18"/>
    <w:rsid w:val="00F93DDD"/>
    <w:rsid w:val="00F94D93"/>
    <w:rsid w:val="00F94E7B"/>
    <w:rsid w:val="00F95274"/>
    <w:rsid w:val="00F95701"/>
    <w:rsid w:val="00F95C70"/>
    <w:rsid w:val="00F95C7B"/>
    <w:rsid w:val="00F95E1B"/>
    <w:rsid w:val="00F968EE"/>
    <w:rsid w:val="00F96C52"/>
    <w:rsid w:val="00F96F5B"/>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34C"/>
    <w:rsid w:val="00FA79E0"/>
    <w:rsid w:val="00FB0CDB"/>
    <w:rsid w:val="00FB0DD6"/>
    <w:rsid w:val="00FB1A79"/>
    <w:rsid w:val="00FB1C5B"/>
    <w:rsid w:val="00FB20CC"/>
    <w:rsid w:val="00FB2751"/>
    <w:rsid w:val="00FB2F6A"/>
    <w:rsid w:val="00FB3037"/>
    <w:rsid w:val="00FB343D"/>
    <w:rsid w:val="00FB3605"/>
    <w:rsid w:val="00FB3823"/>
    <w:rsid w:val="00FB408B"/>
    <w:rsid w:val="00FB5287"/>
    <w:rsid w:val="00FB5D8A"/>
    <w:rsid w:val="00FB6011"/>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18E592A1-37F8-476D-AC12-981C2AE7B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
    <w:link w:val="ad"/>
    <w:uiPriority w:val="34"/>
    <w:qFormat/>
    <w:rsid w:val="004545C8"/>
    <w:rPr>
      <w:rFonts w:ascii="바탕" w:hAnsi="바탕" w:cs="굴림"/>
    </w:rPr>
  </w:style>
  <w:style w:type="paragraph" w:customStyle="1" w:styleId="Doc">
    <w:name w:val="Doc"/>
    <w:basedOn w:val="a1"/>
    <w:link w:val="DocChar"/>
    <w:qFormat/>
    <w:rsid w:val="00B843AE"/>
    <w:pPr>
      <w:ind w:left="0" w:firstLineChars="250" w:firstLine="550"/>
    </w:pPr>
    <w:rPr>
      <w:sz w:val="22"/>
      <w:szCs w:val="22"/>
      <w:lang w:val="en-US" w:eastAsia="ko-KR"/>
    </w:rPr>
  </w:style>
  <w:style w:type="character" w:customStyle="1" w:styleId="DocChar">
    <w:name w:val="Doc Char"/>
    <w:basedOn w:val="a2"/>
    <w:link w:val="Doc"/>
    <w:rsid w:val="00B843AE"/>
    <w:rPr>
      <w:rFonts w:eastAsia="MS Mincho"/>
      <w:sz w:val="22"/>
      <w:szCs w:val="22"/>
    </w:rPr>
  </w:style>
  <w:style w:type="paragraph" w:customStyle="1" w:styleId="agreement">
    <w:name w:val="agreement"/>
    <w:basedOn w:val="a1"/>
    <w:link w:val="agreementChar"/>
    <w:qFormat/>
    <w:rsid w:val="00B843AE"/>
    <w:pPr>
      <w:numPr>
        <w:numId w:val="35"/>
      </w:numPr>
      <w:spacing w:before="0" w:after="0" w:line="240" w:lineRule="exact"/>
      <w:jc w:val="left"/>
    </w:pPr>
  </w:style>
  <w:style w:type="character" w:customStyle="1" w:styleId="agreementChar">
    <w:name w:val="agreement Char"/>
    <w:basedOn w:val="a2"/>
    <w:link w:val="agreement"/>
    <w:rsid w:val="00B843AE"/>
    <w:rPr>
      <w:rFonts w:eastAsia="MS Mincho"/>
      <w:lang w:val="en-GB" w:eastAsia="en-US"/>
    </w:rPr>
  </w:style>
  <w:style w:type="paragraph" w:customStyle="1" w:styleId="agreementHEAD">
    <w:name w:val="agreement HEAD"/>
    <w:basedOn w:val="agreement"/>
    <w:link w:val="agreementHEADChar"/>
    <w:qFormat/>
    <w:rsid w:val="00B843AE"/>
    <w:pPr>
      <w:numPr>
        <w:numId w:val="0"/>
      </w:numPr>
    </w:pPr>
    <w:rPr>
      <w:b/>
      <w:u w:val="single"/>
    </w:rPr>
  </w:style>
  <w:style w:type="character" w:customStyle="1" w:styleId="agreementHEADChar">
    <w:name w:val="agreement HEAD Char"/>
    <w:basedOn w:val="agreementChar"/>
    <w:link w:val="agreementHEAD"/>
    <w:rsid w:val="00B843AE"/>
    <w:rPr>
      <w:rFonts w:eastAsia="MS Mincho"/>
      <w:b/>
      <w:u w:val="single"/>
      <w:lang w:val="en-GB" w:eastAsia="en-US"/>
    </w:rPr>
  </w:style>
  <w:style w:type="paragraph" w:customStyle="1" w:styleId="Proposal">
    <w:name w:val="Proposal"/>
    <w:basedOn w:val="a1"/>
    <w:link w:val="ProposalChar"/>
    <w:qFormat/>
    <w:rsid w:val="0015370C"/>
    <w:pPr>
      <w:tabs>
        <w:tab w:val="left" w:pos="1701"/>
      </w:tabs>
      <w:overflowPunct w:val="0"/>
      <w:autoSpaceDE w:val="0"/>
      <w:autoSpaceDN w:val="0"/>
      <w:adjustRightInd w:val="0"/>
      <w:spacing w:before="0" w:after="120" w:line="240" w:lineRule="auto"/>
      <w:ind w:left="1701" w:hanging="1701"/>
      <w:textAlignment w:val="baseline"/>
    </w:pPr>
    <w:rPr>
      <w:rFonts w:eastAsiaTheme="minorEastAsia"/>
      <w:b/>
      <w:bCs/>
      <w:i/>
      <w:sz w:val="22"/>
      <w:lang w:eastAsia="ko-KR"/>
    </w:rPr>
  </w:style>
  <w:style w:type="character" w:customStyle="1" w:styleId="ProposalChar">
    <w:name w:val="Proposal Char"/>
    <w:link w:val="Proposal"/>
    <w:rsid w:val="0015370C"/>
    <w:rPr>
      <w:rFonts w:eastAsiaTheme="minorEastAsia"/>
      <w:b/>
      <w:bCs/>
      <w:i/>
      <w:sz w:val="22"/>
      <w:lang w:val="en-GB"/>
    </w:rPr>
  </w:style>
  <w:style w:type="paragraph" w:customStyle="1" w:styleId="10">
    <w:name w:val="스타일1"/>
    <w:basedOn w:val="a1"/>
    <w:link w:val="1Char0"/>
    <w:qFormat/>
    <w:rsid w:val="009A7053"/>
    <w:pPr>
      <w:ind w:left="0" w:firstLineChars="250" w:firstLine="550"/>
    </w:pPr>
    <w:rPr>
      <w:rFonts w:eastAsiaTheme="minorEastAsia"/>
      <w:sz w:val="22"/>
      <w:lang w:eastAsia="ko-KR"/>
    </w:rPr>
  </w:style>
  <w:style w:type="character" w:customStyle="1" w:styleId="1Char0">
    <w:name w:val="스타일1 Char"/>
    <w:basedOn w:val="a2"/>
    <w:link w:val="10"/>
    <w:rsid w:val="009A7053"/>
    <w:rPr>
      <w:rFonts w:eastAsiaTheme="minorEastAsia"/>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599633-EC1F-4F4D-BF10-65BB52953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Pages>
  <Words>1100</Words>
  <Characters>6270</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Duckhyun Bae</cp:lastModifiedBy>
  <cp:revision>7</cp:revision>
  <cp:lastPrinted>2016-05-13T07:55:00Z</cp:lastPrinted>
  <dcterms:created xsi:type="dcterms:W3CDTF">2018-04-06T23:43:00Z</dcterms:created>
  <dcterms:modified xsi:type="dcterms:W3CDTF">2018-04-07T01:52:00Z</dcterms:modified>
</cp:coreProperties>
</file>